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4EE4" w14:textId="11FCC200" w:rsidR="00F41900" w:rsidRPr="00F41900" w:rsidRDefault="00F41900" w:rsidP="00F41900">
      <w:pPr>
        <w:jc w:val="right"/>
        <w:rPr>
          <w:rFonts w:ascii="Times New Roman" w:hAnsi="Times New Roman" w:cs="Times New Roman"/>
          <w:sz w:val="24"/>
          <w:szCs w:val="28"/>
        </w:rPr>
      </w:pPr>
      <w:r w:rsidRPr="00F41900">
        <w:rPr>
          <w:rFonts w:ascii="Times New Roman" w:hAnsi="Times New Roman" w:cs="Times New Roman"/>
          <w:sz w:val="24"/>
          <w:szCs w:val="28"/>
        </w:rPr>
        <w:t>NPFC-2022-TWG CMSA06-WP02</w:t>
      </w:r>
    </w:p>
    <w:p w14:paraId="06EA39DF" w14:textId="0E4BA99B" w:rsidR="009E1252" w:rsidRPr="003F1A07" w:rsidRDefault="009E1252" w:rsidP="009B0FE7">
      <w:pPr>
        <w:jc w:val="center"/>
        <w:rPr>
          <w:rFonts w:ascii="Times New Roman" w:hAnsi="Times New Roman" w:cs="Times New Roman"/>
          <w:b/>
          <w:bCs/>
          <w:sz w:val="24"/>
          <w:szCs w:val="28"/>
        </w:rPr>
      </w:pPr>
      <w:r w:rsidRPr="003F1A07">
        <w:rPr>
          <w:rFonts w:ascii="Times New Roman" w:hAnsi="Times New Roman" w:cs="Times New Roman"/>
          <w:b/>
          <w:bCs/>
          <w:sz w:val="24"/>
          <w:szCs w:val="28"/>
        </w:rPr>
        <w:t xml:space="preserve">Japanese fishery data based on a </w:t>
      </w:r>
      <w:r w:rsidR="009B0FE7" w:rsidRPr="003F1A07">
        <w:rPr>
          <w:rFonts w:ascii="Times New Roman" w:hAnsi="Times New Roman" w:cs="Times New Roman"/>
          <w:b/>
          <w:bCs/>
          <w:sz w:val="24"/>
          <w:szCs w:val="28"/>
        </w:rPr>
        <w:t>quarterly calendar</w:t>
      </w:r>
    </w:p>
    <w:p w14:paraId="798799F7" w14:textId="622A9137" w:rsidR="009E1252" w:rsidRPr="009E1252" w:rsidRDefault="009E1252">
      <w:pPr>
        <w:rPr>
          <w:rFonts w:ascii="Times New Roman" w:hAnsi="Times New Roman" w:cs="Times New Roman"/>
        </w:rPr>
      </w:pPr>
    </w:p>
    <w:p w14:paraId="1611C7D2" w14:textId="6448B297" w:rsidR="009E1252" w:rsidRPr="009E1252" w:rsidRDefault="006F7744" w:rsidP="000E6618">
      <w:pPr>
        <w:jc w:val="center"/>
        <w:rPr>
          <w:rFonts w:ascii="Times New Roman" w:hAnsi="Times New Roman" w:cs="Times New Roman"/>
        </w:rPr>
      </w:pPr>
      <w:r w:rsidRPr="06EA37AC">
        <w:rPr>
          <w:rFonts w:ascii="Times New Roman" w:hAnsi="Times New Roman" w:cs="Times New Roman"/>
        </w:rPr>
        <w:t>A</w:t>
      </w:r>
      <w:r w:rsidR="00275BED" w:rsidRPr="06EA37AC">
        <w:rPr>
          <w:rFonts w:ascii="Times New Roman" w:hAnsi="Times New Roman" w:cs="Times New Roman"/>
        </w:rPr>
        <w:t>kihiro Manabe</w:t>
      </w:r>
      <w:r w:rsidR="005C0F2B" w:rsidRPr="06EA37AC">
        <w:rPr>
          <w:rFonts w:ascii="Times New Roman" w:hAnsi="Times New Roman" w:cs="Times New Roman"/>
        </w:rPr>
        <w:t xml:space="preserve">, </w:t>
      </w:r>
      <w:r w:rsidR="00275BED" w:rsidRPr="06EA37AC">
        <w:rPr>
          <w:rFonts w:ascii="Times New Roman" w:hAnsi="Times New Roman" w:cs="Times New Roman"/>
        </w:rPr>
        <w:t>Ryuji Yukami</w:t>
      </w:r>
      <w:r w:rsidR="005C0F2B" w:rsidRPr="06EA37AC">
        <w:rPr>
          <w:rFonts w:ascii="Times New Roman" w:hAnsi="Times New Roman" w:cs="Times New Roman"/>
        </w:rPr>
        <w:t>, Shota Nishijima, Shuya Nakatsuka and Momo</w:t>
      </w:r>
      <w:r w:rsidR="000E6618" w:rsidRPr="06EA37AC">
        <w:rPr>
          <w:rFonts w:ascii="Times New Roman" w:hAnsi="Times New Roman" w:cs="Times New Roman"/>
        </w:rPr>
        <w:t>k</w:t>
      </w:r>
      <w:r w:rsidR="005C0F2B" w:rsidRPr="06EA37AC">
        <w:rPr>
          <w:rFonts w:ascii="Times New Roman" w:hAnsi="Times New Roman" w:cs="Times New Roman"/>
        </w:rPr>
        <w:t>o Ichinokawa</w:t>
      </w:r>
    </w:p>
    <w:p w14:paraId="75C5AB61" w14:textId="3DE91B6C" w:rsidR="009E1252" w:rsidRPr="006B3790" w:rsidRDefault="00C53259" w:rsidP="006B3790">
      <w:pPr>
        <w:jc w:val="center"/>
        <w:rPr>
          <w:rFonts w:ascii="Times New Roman" w:hAnsi="Times New Roman" w:cs="Times New Roman"/>
          <w:i/>
        </w:rPr>
      </w:pPr>
      <w:r w:rsidRPr="006B3790">
        <w:rPr>
          <w:rFonts w:ascii="Times New Roman" w:hAnsi="Times New Roman" w:cs="Times New Roman"/>
          <w:i/>
          <w:iCs/>
        </w:rPr>
        <w:t>Fisheries Resource</w:t>
      </w:r>
      <w:r w:rsidR="008A6372">
        <w:rPr>
          <w:rFonts w:ascii="Times New Roman" w:hAnsi="Times New Roman" w:cs="Times New Roman"/>
          <w:i/>
          <w:iCs/>
        </w:rPr>
        <w:t>s</w:t>
      </w:r>
      <w:r w:rsidRPr="006B3790">
        <w:rPr>
          <w:rFonts w:ascii="Times New Roman" w:hAnsi="Times New Roman" w:cs="Times New Roman"/>
          <w:i/>
          <w:iCs/>
        </w:rPr>
        <w:t xml:space="preserve"> Institute, Japan Fisheries Research and Education Agency</w:t>
      </w:r>
    </w:p>
    <w:p w14:paraId="4E6DE9B5" w14:textId="77777777" w:rsidR="00337C98" w:rsidRPr="008A6372" w:rsidRDefault="00337C98">
      <w:pPr>
        <w:rPr>
          <w:rFonts w:ascii="Times New Roman" w:hAnsi="Times New Roman" w:cs="Times New Roman"/>
        </w:rPr>
      </w:pPr>
    </w:p>
    <w:p w14:paraId="076822E8" w14:textId="72738906" w:rsidR="009E1252" w:rsidRPr="000E6618" w:rsidRDefault="00C53259">
      <w:pPr>
        <w:rPr>
          <w:rFonts w:ascii="Times New Roman" w:hAnsi="Times New Roman" w:cs="Times New Roman"/>
          <w:b/>
          <w:bCs/>
        </w:rPr>
      </w:pPr>
      <w:r>
        <w:rPr>
          <w:rFonts w:ascii="Times New Roman" w:hAnsi="Times New Roman" w:cs="Times New Roman"/>
          <w:b/>
          <w:bCs/>
        </w:rPr>
        <w:t>Summary</w:t>
      </w:r>
    </w:p>
    <w:p w14:paraId="17D1E6EF" w14:textId="2758B32D" w:rsidR="009E1252" w:rsidRDefault="210E2C5D">
      <w:pPr>
        <w:rPr>
          <w:rFonts w:ascii="Times New Roman" w:hAnsi="Times New Roman" w:cs="Times New Roman"/>
        </w:rPr>
      </w:pPr>
      <w:r w:rsidRPr="38FFA203">
        <w:rPr>
          <w:rFonts w:ascii="Times New Roman" w:hAnsi="Times New Roman" w:cs="Times New Roman"/>
        </w:rPr>
        <w:t xml:space="preserve">The </w:t>
      </w:r>
      <w:r w:rsidR="38FFA203" w:rsidRPr="38FFA203">
        <w:rPr>
          <w:rFonts w:ascii="Times New Roman" w:hAnsi="Times New Roman" w:cs="Times New Roman"/>
        </w:rPr>
        <w:t xml:space="preserve">quarterly </w:t>
      </w:r>
      <w:r w:rsidRPr="38FFA203">
        <w:rPr>
          <w:rFonts w:ascii="Times New Roman" w:hAnsi="Times New Roman" w:cs="Times New Roman"/>
        </w:rPr>
        <w:t>catch and weight at age</w:t>
      </w:r>
      <w:r w:rsidRPr="0E345480">
        <w:rPr>
          <w:rFonts w:ascii="Times New Roman" w:hAnsi="Times New Roman" w:cs="Times New Roman"/>
        </w:rPr>
        <w:t xml:space="preserve"> of</w:t>
      </w:r>
      <w:r w:rsidRPr="38FFA203">
        <w:rPr>
          <w:rFonts w:ascii="Times New Roman" w:hAnsi="Times New Roman" w:cs="Times New Roman"/>
        </w:rPr>
        <w:t xml:space="preserve"> </w:t>
      </w:r>
      <w:r w:rsidRPr="0DEF5D91">
        <w:rPr>
          <w:rFonts w:ascii="Times New Roman" w:hAnsi="Times New Roman" w:cs="Times New Roman"/>
        </w:rPr>
        <w:t xml:space="preserve">CM </w:t>
      </w:r>
      <w:r w:rsidRPr="38FFA203">
        <w:rPr>
          <w:rFonts w:ascii="Times New Roman" w:hAnsi="Times New Roman" w:cs="Times New Roman"/>
        </w:rPr>
        <w:t xml:space="preserve">from 2010 to 2020 and quarterly maturity at age data from 2007 to </w:t>
      </w:r>
      <w:r w:rsidRPr="14955085">
        <w:rPr>
          <w:rFonts w:ascii="Times New Roman" w:hAnsi="Times New Roman" w:cs="Times New Roman"/>
        </w:rPr>
        <w:t xml:space="preserve">2020 are </w:t>
      </w:r>
      <w:r w:rsidRPr="09B51CE5">
        <w:rPr>
          <w:rFonts w:ascii="Times New Roman" w:hAnsi="Times New Roman" w:cs="Times New Roman"/>
        </w:rPr>
        <w:t>calculated and presented.</w:t>
      </w:r>
      <w:r w:rsidRPr="5AF485A4">
        <w:rPr>
          <w:rFonts w:ascii="Times New Roman" w:hAnsi="Times New Roman" w:cs="Times New Roman"/>
        </w:rPr>
        <w:t xml:space="preserve"> </w:t>
      </w:r>
      <w:r w:rsidRPr="6C8C2282">
        <w:rPr>
          <w:rFonts w:ascii="Times New Roman" w:hAnsi="Times New Roman" w:cs="Times New Roman"/>
        </w:rPr>
        <w:t xml:space="preserve">The quarterly catch at age </w:t>
      </w:r>
      <w:r w:rsidRPr="3DCB8B42">
        <w:rPr>
          <w:rFonts w:ascii="Times New Roman" w:hAnsi="Times New Roman" w:cs="Times New Roman"/>
        </w:rPr>
        <w:t xml:space="preserve">represents </w:t>
      </w:r>
      <w:r w:rsidRPr="534B5B4E">
        <w:rPr>
          <w:rFonts w:ascii="Times New Roman" w:hAnsi="Times New Roman" w:cs="Times New Roman"/>
        </w:rPr>
        <w:t xml:space="preserve">catch in </w:t>
      </w:r>
      <w:r w:rsidRPr="7B695A94">
        <w:rPr>
          <w:rFonts w:ascii="Times New Roman" w:hAnsi="Times New Roman" w:cs="Times New Roman"/>
        </w:rPr>
        <w:t>Q4</w:t>
      </w:r>
      <w:r w:rsidRPr="3C6E58DC">
        <w:rPr>
          <w:rFonts w:ascii="Times New Roman" w:hAnsi="Times New Roman" w:cs="Times New Roman"/>
        </w:rPr>
        <w:t xml:space="preserve"> and </w:t>
      </w:r>
      <w:r w:rsidRPr="4CA8C354">
        <w:rPr>
          <w:rFonts w:ascii="Times New Roman" w:hAnsi="Times New Roman" w:cs="Times New Roman"/>
        </w:rPr>
        <w:t xml:space="preserve">Q1 of the </w:t>
      </w:r>
      <w:r w:rsidRPr="59F11B71">
        <w:rPr>
          <w:rFonts w:ascii="Times New Roman" w:hAnsi="Times New Roman" w:cs="Times New Roman"/>
        </w:rPr>
        <w:t xml:space="preserve">subsequent year is significant while catch in Q2 </w:t>
      </w:r>
      <w:r w:rsidRPr="6851AF05">
        <w:rPr>
          <w:rFonts w:ascii="Times New Roman" w:hAnsi="Times New Roman" w:cs="Times New Roman"/>
        </w:rPr>
        <w:t xml:space="preserve">and Q3 </w:t>
      </w:r>
      <w:r w:rsidRPr="18EC1D2A">
        <w:rPr>
          <w:rFonts w:ascii="Times New Roman" w:hAnsi="Times New Roman" w:cs="Times New Roman"/>
        </w:rPr>
        <w:t xml:space="preserve">is </w:t>
      </w:r>
      <w:r w:rsidRPr="6D1D9844">
        <w:rPr>
          <w:rFonts w:ascii="Times New Roman" w:hAnsi="Times New Roman" w:cs="Times New Roman"/>
        </w:rPr>
        <w:t xml:space="preserve">low. </w:t>
      </w:r>
      <w:r w:rsidRPr="45F3C098">
        <w:rPr>
          <w:rFonts w:ascii="Times New Roman" w:hAnsi="Times New Roman" w:cs="Times New Roman"/>
        </w:rPr>
        <w:t xml:space="preserve">The catch of age 0 </w:t>
      </w:r>
      <w:r w:rsidRPr="7217ADF5">
        <w:rPr>
          <w:rFonts w:ascii="Times New Roman" w:hAnsi="Times New Roman" w:cs="Times New Roman"/>
        </w:rPr>
        <w:t xml:space="preserve">appears regularly </w:t>
      </w:r>
      <w:r w:rsidRPr="45F3C098">
        <w:rPr>
          <w:rFonts w:ascii="Times New Roman" w:hAnsi="Times New Roman" w:cs="Times New Roman"/>
        </w:rPr>
        <w:t>in</w:t>
      </w:r>
      <w:r w:rsidRPr="48C8180A">
        <w:rPr>
          <w:rFonts w:ascii="Times New Roman" w:hAnsi="Times New Roman" w:cs="Times New Roman"/>
        </w:rPr>
        <w:t xml:space="preserve"> Q3 and Q4, </w:t>
      </w:r>
      <w:r w:rsidRPr="7E73665C">
        <w:rPr>
          <w:rFonts w:ascii="Times New Roman" w:hAnsi="Times New Roman" w:cs="Times New Roman"/>
        </w:rPr>
        <w:t>representing</w:t>
      </w:r>
      <w:r w:rsidRPr="7012D2C8">
        <w:rPr>
          <w:rFonts w:ascii="Times New Roman" w:hAnsi="Times New Roman" w:cs="Times New Roman"/>
        </w:rPr>
        <w:t xml:space="preserve"> the recruitment of age 0 fish to fishery appears after </w:t>
      </w:r>
      <w:r w:rsidRPr="7E73665C">
        <w:rPr>
          <w:rFonts w:ascii="Times New Roman" w:hAnsi="Times New Roman" w:cs="Times New Roman"/>
        </w:rPr>
        <w:t>Q</w:t>
      </w:r>
      <w:r w:rsidR="00CF36FF">
        <w:rPr>
          <w:rFonts w:ascii="Times New Roman" w:hAnsi="Times New Roman" w:cs="Times New Roman"/>
        </w:rPr>
        <w:t>2</w:t>
      </w:r>
      <w:r w:rsidRPr="7E73665C">
        <w:rPr>
          <w:rFonts w:ascii="Times New Roman" w:hAnsi="Times New Roman" w:cs="Times New Roman"/>
        </w:rPr>
        <w:t xml:space="preserve">. </w:t>
      </w:r>
      <w:r w:rsidR="7A1C66E6" w:rsidRPr="4F4FEA73">
        <w:rPr>
          <w:rFonts w:ascii="Times New Roman" w:hAnsi="Times New Roman" w:cs="Times New Roman"/>
        </w:rPr>
        <w:t xml:space="preserve">With the availability of Japanese catch at age </w:t>
      </w:r>
      <w:r w:rsidR="7A1C66E6" w:rsidRPr="50EBBAD4">
        <w:rPr>
          <w:rFonts w:ascii="Times New Roman" w:hAnsi="Times New Roman" w:cs="Times New Roman"/>
        </w:rPr>
        <w:t xml:space="preserve">data in quarterly basis and presence of age incrementation in the middle of the calendar year, it is advised to </w:t>
      </w:r>
      <w:r w:rsidR="7A1C66E6" w:rsidRPr="25066B72">
        <w:rPr>
          <w:rFonts w:ascii="Times New Roman" w:hAnsi="Times New Roman" w:cs="Times New Roman"/>
        </w:rPr>
        <w:t>use fishing year to assess the stock of CM with rich temporal catch at age data.</w:t>
      </w:r>
    </w:p>
    <w:p w14:paraId="38D1AC19" w14:textId="6C95146F" w:rsidR="00A878B2" w:rsidRPr="008F0ED6" w:rsidRDefault="00A878B2">
      <w:pPr>
        <w:rPr>
          <w:rFonts w:ascii="Times New Roman" w:hAnsi="Times New Roman" w:cs="Times New Roman"/>
        </w:rPr>
      </w:pPr>
    </w:p>
    <w:p w14:paraId="2E3DCC4E" w14:textId="58BB90A4" w:rsidR="00A878B2" w:rsidRPr="00862868" w:rsidRDefault="00A878B2">
      <w:pPr>
        <w:rPr>
          <w:rFonts w:ascii="Times New Roman" w:hAnsi="Times New Roman" w:cs="Times New Roman"/>
          <w:b/>
          <w:bCs/>
        </w:rPr>
      </w:pPr>
      <w:r w:rsidRPr="00862868">
        <w:rPr>
          <w:rFonts w:ascii="Times New Roman" w:hAnsi="Times New Roman" w:cs="Times New Roman"/>
          <w:b/>
          <w:bCs/>
        </w:rPr>
        <w:t>Introduction</w:t>
      </w:r>
    </w:p>
    <w:p w14:paraId="2EA8BE05" w14:textId="54BB9662" w:rsidR="00A878B2" w:rsidRDefault="00327ED7">
      <w:pPr>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 xml:space="preserve">TWG CMSA agreed that the Members </w:t>
      </w:r>
      <w:r w:rsidR="00E07696">
        <w:rPr>
          <w:rFonts w:ascii="Times New Roman" w:hAnsi="Times New Roman" w:cs="Times New Roman"/>
        </w:rPr>
        <w:t xml:space="preserve">will </w:t>
      </w:r>
      <w:r>
        <w:rPr>
          <w:rFonts w:ascii="Times New Roman" w:hAnsi="Times New Roman" w:cs="Times New Roman"/>
        </w:rPr>
        <w:t>submit fishery data on a quarterly calendar which are expected to facilitate discussion to set fishing/calendar year to conduct stock assessment on chub mackerel</w:t>
      </w:r>
      <w:r w:rsidR="004222AC">
        <w:rPr>
          <w:rFonts w:ascii="Times New Roman" w:hAnsi="Times New Roman" w:cs="Times New Roman"/>
        </w:rPr>
        <w:t xml:space="preserve"> (CM)</w:t>
      </w:r>
      <w:r>
        <w:rPr>
          <w:rFonts w:ascii="Times New Roman" w:hAnsi="Times New Roman" w:cs="Times New Roman"/>
        </w:rPr>
        <w:t xml:space="preserve"> (</w:t>
      </w:r>
      <w:r w:rsidR="00E55AEC">
        <w:rPr>
          <w:rFonts w:ascii="Times New Roman" w:hAnsi="Times New Roman" w:cs="Times New Roman" w:hint="eastAsia"/>
        </w:rPr>
        <w:t>5</w:t>
      </w:r>
      <w:r w:rsidR="00E55AEC" w:rsidRPr="00E55AEC">
        <w:rPr>
          <w:rFonts w:ascii="Times New Roman" w:hAnsi="Times New Roman" w:cs="Times New Roman" w:hint="eastAsia"/>
          <w:vertAlign w:val="superscript"/>
        </w:rPr>
        <w:t>th</w:t>
      </w:r>
      <w:r w:rsidR="00E55AEC">
        <w:rPr>
          <w:rFonts w:ascii="Times New Roman" w:hAnsi="Times New Roman" w:cs="Times New Roman"/>
        </w:rPr>
        <w:t xml:space="preserve"> Meeting of </w:t>
      </w:r>
      <w:r>
        <w:rPr>
          <w:rFonts w:ascii="Times New Roman" w:hAnsi="Times New Roman" w:cs="Times New Roman"/>
        </w:rPr>
        <w:t>TWG CMSA 2022). Japan provides those information based on the input data used for the Japanese domestic stock assessment on this species.</w:t>
      </w:r>
    </w:p>
    <w:p w14:paraId="3C33BB01" w14:textId="788B1394" w:rsidR="00A878B2" w:rsidRPr="00327ED7" w:rsidRDefault="00A878B2">
      <w:pPr>
        <w:rPr>
          <w:rFonts w:ascii="Times New Roman" w:hAnsi="Times New Roman" w:cs="Times New Roman"/>
        </w:rPr>
      </w:pPr>
    </w:p>
    <w:p w14:paraId="0A7B1BDD" w14:textId="38A5615C" w:rsidR="00A878B2" w:rsidRPr="00862868" w:rsidRDefault="00A878B2">
      <w:pPr>
        <w:rPr>
          <w:rFonts w:ascii="Times New Roman" w:hAnsi="Times New Roman" w:cs="Times New Roman"/>
          <w:b/>
          <w:bCs/>
        </w:rPr>
      </w:pPr>
      <w:r w:rsidRPr="00862868">
        <w:rPr>
          <w:rFonts w:ascii="Times New Roman" w:hAnsi="Times New Roman" w:cs="Times New Roman" w:hint="eastAsia"/>
          <w:b/>
          <w:bCs/>
        </w:rPr>
        <w:t>D</w:t>
      </w:r>
      <w:r w:rsidRPr="00862868">
        <w:rPr>
          <w:rFonts w:ascii="Times New Roman" w:hAnsi="Times New Roman" w:cs="Times New Roman"/>
          <w:b/>
          <w:bCs/>
        </w:rPr>
        <w:t>ata</w:t>
      </w:r>
    </w:p>
    <w:p w14:paraId="17884D5E" w14:textId="30CB8F13" w:rsidR="4D56F1EB" w:rsidRDefault="4D56F1EB" w:rsidP="4D56F1EB">
      <w:pPr>
        <w:rPr>
          <w:rFonts w:ascii="Times New Roman" w:hAnsi="Times New Roman" w:cs="Times New Roman"/>
        </w:rPr>
      </w:pPr>
      <w:r w:rsidRPr="4D56F1EB">
        <w:rPr>
          <w:rFonts w:ascii="Times New Roman" w:hAnsi="Times New Roman" w:cs="Times New Roman"/>
        </w:rPr>
        <w:t>Catch at age</w:t>
      </w:r>
    </w:p>
    <w:p w14:paraId="482D930F" w14:textId="46EAE5A2" w:rsidR="4D56F1EB" w:rsidRDefault="4D56F1EB" w:rsidP="4D56F1EB">
      <w:pPr>
        <w:rPr>
          <w:rFonts w:ascii="Times New Roman" w:hAnsi="Times New Roman" w:cs="Times New Roman"/>
        </w:rPr>
      </w:pPr>
      <w:r w:rsidRPr="4D56F1EB">
        <w:rPr>
          <w:rFonts w:ascii="Times New Roman" w:hAnsi="Times New Roman" w:cs="Times New Roman"/>
        </w:rPr>
        <w:t xml:space="preserve">The monthly length composition data were constructed for 2010 to 2020 using the length measurement data obtained from CM landings at major landing ports in Japan. Then using the length-weight relationship obtained annually at each prefecture and the monthly length composition data, monthly average weight per fish were calculated. Using the monthly average weight per fish and the monthly catch data obtained from each prefecture, monthly catch in number of fish were obtained. By multiplying the catch number by the length frequency data, monthly catch at length were obtained. Using the quarterly developed age-length-key, obtained by the biological measurement of fish performed by each prefecture every month, quarterly catch at age in number were calculated. For the development of age-length-key, the age of CM is incremented on July 1st since recruitment of age-0 fish begins in July. Due to the nature of </w:t>
      </w:r>
      <w:r w:rsidR="00E32F8B" w:rsidRPr="4D56F1EB">
        <w:rPr>
          <w:rFonts w:ascii="Times New Roman" w:hAnsi="Times New Roman" w:cs="Times New Roman"/>
        </w:rPr>
        <w:t>recruitment</w:t>
      </w:r>
      <w:r w:rsidRPr="4D56F1EB">
        <w:rPr>
          <w:rFonts w:ascii="Times New Roman" w:hAnsi="Times New Roman" w:cs="Times New Roman"/>
        </w:rPr>
        <w:t xml:space="preserve"> and fishery, the catch at age data from Q3 to Q2 of the following year was used as the annual catch at age of the fishing year.</w:t>
      </w:r>
    </w:p>
    <w:p w14:paraId="4731F5F2" w14:textId="3C784E3F" w:rsidR="4D56F1EB" w:rsidRDefault="4D56F1EB" w:rsidP="4D56F1EB">
      <w:pPr>
        <w:rPr>
          <w:rFonts w:ascii="Times New Roman" w:hAnsi="Times New Roman" w:cs="Times New Roman"/>
        </w:rPr>
      </w:pPr>
    </w:p>
    <w:p w14:paraId="77C64636" w14:textId="6E5E8AEB" w:rsidR="4D56F1EB" w:rsidRDefault="4D56F1EB" w:rsidP="4D56F1EB">
      <w:pPr>
        <w:rPr>
          <w:rFonts w:ascii="Times New Roman" w:hAnsi="Times New Roman" w:cs="Times New Roman"/>
        </w:rPr>
      </w:pPr>
      <w:r w:rsidRPr="4D56F1EB">
        <w:rPr>
          <w:rFonts w:ascii="Times New Roman" w:hAnsi="Times New Roman" w:cs="Times New Roman"/>
        </w:rPr>
        <w:t>Weig</w:t>
      </w:r>
      <w:r w:rsidR="00700661">
        <w:rPr>
          <w:rFonts w:ascii="Times New Roman" w:hAnsi="Times New Roman" w:cs="Times New Roman"/>
        </w:rPr>
        <w:t>ht</w:t>
      </w:r>
      <w:r w:rsidRPr="4D56F1EB">
        <w:rPr>
          <w:rFonts w:ascii="Times New Roman" w:hAnsi="Times New Roman" w:cs="Times New Roman"/>
        </w:rPr>
        <w:t xml:space="preserve"> at age</w:t>
      </w:r>
    </w:p>
    <w:p w14:paraId="61F337B0" w14:textId="0D85B2CF" w:rsidR="4D56F1EB" w:rsidRDefault="4D56F1EB" w:rsidP="4D56F1EB">
      <w:pPr>
        <w:rPr>
          <w:rFonts w:ascii="Times New Roman" w:hAnsi="Times New Roman" w:cs="Times New Roman"/>
        </w:rPr>
      </w:pPr>
      <w:r w:rsidRPr="4D56F1EB">
        <w:rPr>
          <w:rFonts w:ascii="Times New Roman" w:hAnsi="Times New Roman" w:cs="Times New Roman"/>
        </w:rPr>
        <w:lastRenderedPageBreak/>
        <w:t>Likewise, monthly catch weight at length is estimated from monthly catch at length and length-weight relationship from each month. By combining monthly catch weight at length into quarterly basis and applying age-length-key, the quarterly catch at age in weight were obtained. Weight at age was thus calculated by dividing the catch at age in weight with catch at age in numbers. For the detailed method of preparation of catch and weight at age, see Manabe and Yukami (2020).</w:t>
      </w:r>
    </w:p>
    <w:p w14:paraId="013C27A8" w14:textId="441A19B0" w:rsidR="4D56F1EB" w:rsidRDefault="4D56F1EB" w:rsidP="4D56F1EB">
      <w:pPr>
        <w:rPr>
          <w:rFonts w:ascii="Times New Roman" w:hAnsi="Times New Roman" w:cs="Times New Roman"/>
        </w:rPr>
      </w:pPr>
    </w:p>
    <w:p w14:paraId="3FB31852" w14:textId="7845E6D5" w:rsidR="00862868" w:rsidRDefault="00862868">
      <w:pP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aturity at age</w:t>
      </w:r>
    </w:p>
    <w:p w14:paraId="4A2E2DA1" w14:textId="5D296419" w:rsidR="00862868" w:rsidRDefault="00D9665F">
      <w:pPr>
        <w:rPr>
          <w:rFonts w:ascii="Times New Roman" w:hAnsi="Times New Roman" w:cs="Times New Roman"/>
        </w:rPr>
      </w:pPr>
      <w:r w:rsidRPr="00D9665F">
        <w:rPr>
          <w:rFonts w:ascii="Times New Roman" w:hAnsi="Times New Roman" w:cs="Times New Roman"/>
        </w:rPr>
        <w:t xml:space="preserve">Quarterly maturity rate by age </w:t>
      </w:r>
      <w:r w:rsidRPr="4D56F1EB">
        <w:rPr>
          <w:rFonts w:ascii="Times New Roman" w:hAnsi="Times New Roman" w:cs="Times New Roman"/>
        </w:rPr>
        <w:t>was</w:t>
      </w:r>
      <w:r w:rsidRPr="00D9665F">
        <w:rPr>
          <w:rFonts w:ascii="Times New Roman" w:hAnsi="Times New Roman" w:cs="Times New Roman"/>
        </w:rPr>
        <w:t xml:space="preserve"> analyzed using the sample from the Pacific coast of Japan obtained between 2006 and 2019. Of the 17673 fishes collected, 6941 and 7985 fishes were male and females, respectively. The maturation status is analyzed using GSI criteria as described in Manabe et al. (2021).</w:t>
      </w:r>
    </w:p>
    <w:p w14:paraId="455BC18E" w14:textId="77777777" w:rsidR="002C5339" w:rsidRPr="00862868" w:rsidRDefault="002C5339">
      <w:pPr>
        <w:rPr>
          <w:rFonts w:ascii="Times New Roman" w:hAnsi="Times New Roman" w:cs="Times New Roman"/>
        </w:rPr>
      </w:pPr>
    </w:p>
    <w:p w14:paraId="7A36ECF6" w14:textId="78B4E91A" w:rsidR="00A878B2" w:rsidRPr="00862868" w:rsidRDefault="00A878B2">
      <w:pPr>
        <w:rPr>
          <w:rFonts w:ascii="Times New Roman" w:hAnsi="Times New Roman" w:cs="Times New Roman"/>
          <w:b/>
          <w:bCs/>
        </w:rPr>
      </w:pPr>
      <w:r w:rsidRPr="00862868">
        <w:rPr>
          <w:rFonts w:ascii="Times New Roman" w:hAnsi="Times New Roman" w:cs="Times New Roman" w:hint="eastAsia"/>
          <w:b/>
          <w:bCs/>
        </w:rPr>
        <w:t>R</w:t>
      </w:r>
      <w:r w:rsidRPr="00862868">
        <w:rPr>
          <w:rFonts w:ascii="Times New Roman" w:hAnsi="Times New Roman" w:cs="Times New Roman"/>
          <w:b/>
          <w:bCs/>
        </w:rPr>
        <w:t>esults and discussion</w:t>
      </w:r>
    </w:p>
    <w:p w14:paraId="4E2193F9" w14:textId="7B627DEA" w:rsidR="008E2599" w:rsidRDefault="004222AC">
      <w:pPr>
        <w:rPr>
          <w:rFonts w:ascii="Times New Roman" w:hAnsi="Times New Roman" w:cs="Times New Roman"/>
        </w:rPr>
      </w:pPr>
      <w:r w:rsidRPr="5D4090D1">
        <w:rPr>
          <w:rFonts w:ascii="Times New Roman" w:hAnsi="Times New Roman" w:cs="Times New Roman"/>
        </w:rPr>
        <w:t xml:space="preserve">The quarterly catch </w:t>
      </w:r>
      <w:r w:rsidR="00B33A3F" w:rsidRPr="5D4090D1">
        <w:rPr>
          <w:rFonts w:ascii="Times New Roman" w:hAnsi="Times New Roman" w:cs="Times New Roman"/>
        </w:rPr>
        <w:t xml:space="preserve">annually </w:t>
      </w:r>
      <w:r w:rsidRPr="5D4090D1">
        <w:rPr>
          <w:rFonts w:ascii="Times New Roman" w:hAnsi="Times New Roman" w:cs="Times New Roman"/>
        </w:rPr>
        <w:t xml:space="preserve">hit a peak in </w:t>
      </w:r>
      <w:r w:rsidR="00B33A3F" w:rsidRPr="5D4090D1">
        <w:rPr>
          <w:rFonts w:ascii="Times New Roman" w:hAnsi="Times New Roman" w:cs="Times New Roman"/>
        </w:rPr>
        <w:t>Q1</w:t>
      </w:r>
      <w:r w:rsidRPr="5D4090D1">
        <w:rPr>
          <w:rFonts w:ascii="Times New Roman" w:hAnsi="Times New Roman" w:cs="Times New Roman"/>
        </w:rPr>
        <w:t xml:space="preserve"> or Q4</w:t>
      </w:r>
      <w:r w:rsidR="00B33A3F" w:rsidRPr="5D4090D1">
        <w:rPr>
          <w:rFonts w:ascii="Times New Roman" w:hAnsi="Times New Roman" w:cs="Times New Roman"/>
        </w:rPr>
        <w:t xml:space="preserve"> and </w:t>
      </w:r>
      <w:r w:rsidR="00E65B28">
        <w:rPr>
          <w:rFonts w:ascii="Times New Roman" w:hAnsi="Times New Roman" w:cs="Times New Roman"/>
        </w:rPr>
        <w:t xml:space="preserve">decreased after Q4, </w:t>
      </w:r>
      <w:r w:rsidR="00B33A3F" w:rsidRPr="5D4090D1">
        <w:rPr>
          <w:rFonts w:ascii="Times New Roman" w:hAnsi="Times New Roman" w:cs="Times New Roman"/>
        </w:rPr>
        <w:t>t</w:t>
      </w:r>
      <w:r w:rsidR="005858F4">
        <w:rPr>
          <w:rFonts w:ascii="Times New Roman" w:hAnsi="Times New Roman" w:cs="Times New Roman"/>
        </w:rPr>
        <w:t>ouching</w:t>
      </w:r>
      <w:r w:rsidR="00B33A3F" w:rsidRPr="5D4090D1">
        <w:rPr>
          <w:rFonts w:ascii="Times New Roman" w:hAnsi="Times New Roman" w:cs="Times New Roman"/>
        </w:rPr>
        <w:t xml:space="preserve"> bottom in Q2 or Q3 </w:t>
      </w:r>
      <w:r w:rsidR="003C38F5" w:rsidRPr="5D4090D1">
        <w:rPr>
          <w:rFonts w:ascii="Times New Roman" w:hAnsi="Times New Roman" w:cs="Times New Roman"/>
        </w:rPr>
        <w:t>(Fig. 1</w:t>
      </w:r>
      <w:r w:rsidR="00DD14D3">
        <w:rPr>
          <w:rFonts w:ascii="Times New Roman" w:hAnsi="Times New Roman" w:cs="Times New Roman"/>
        </w:rPr>
        <w:t>, Table 1</w:t>
      </w:r>
      <w:r w:rsidR="003C38F5" w:rsidRPr="5D4090D1">
        <w:rPr>
          <w:rFonts w:ascii="Times New Roman" w:hAnsi="Times New Roman" w:cs="Times New Roman"/>
        </w:rPr>
        <w:t>)</w:t>
      </w:r>
      <w:r w:rsidRPr="5D4090D1">
        <w:rPr>
          <w:rFonts w:ascii="Times New Roman" w:hAnsi="Times New Roman" w:cs="Times New Roman"/>
        </w:rPr>
        <w:t>.</w:t>
      </w:r>
      <w:r w:rsidR="003C38F5" w:rsidRPr="5D4090D1">
        <w:rPr>
          <w:rFonts w:ascii="Times New Roman" w:hAnsi="Times New Roman" w:cs="Times New Roman"/>
        </w:rPr>
        <w:t xml:space="preserve"> </w:t>
      </w:r>
      <w:r w:rsidR="00F11E83" w:rsidRPr="00F11E83">
        <w:rPr>
          <w:rFonts w:ascii="Times New Roman" w:hAnsi="Times New Roman" w:cs="Times New Roman"/>
        </w:rPr>
        <w:t>The catch of age</w:t>
      </w:r>
      <w:r w:rsidR="005858F4">
        <w:rPr>
          <w:rFonts w:ascii="Times New Roman" w:hAnsi="Times New Roman" w:cs="Times New Roman"/>
        </w:rPr>
        <w:t>-</w:t>
      </w:r>
      <w:r w:rsidR="00F11E83" w:rsidRPr="00F11E83">
        <w:rPr>
          <w:rFonts w:ascii="Times New Roman" w:hAnsi="Times New Roman" w:cs="Times New Roman"/>
        </w:rPr>
        <w:t xml:space="preserve">0 </w:t>
      </w:r>
      <w:r w:rsidR="005858F4">
        <w:rPr>
          <w:rFonts w:ascii="Times New Roman" w:hAnsi="Times New Roman" w:cs="Times New Roman"/>
        </w:rPr>
        <w:t xml:space="preserve">fish </w:t>
      </w:r>
      <w:r w:rsidR="00F11E83" w:rsidRPr="00F11E83">
        <w:rPr>
          <w:rFonts w:ascii="Times New Roman" w:hAnsi="Times New Roman" w:cs="Times New Roman"/>
        </w:rPr>
        <w:t>appear</w:t>
      </w:r>
      <w:r w:rsidR="005858F4">
        <w:rPr>
          <w:rFonts w:ascii="Times New Roman" w:hAnsi="Times New Roman" w:cs="Times New Roman"/>
        </w:rPr>
        <w:t>ed</w:t>
      </w:r>
      <w:r w:rsidR="00F11E83" w:rsidRPr="00F11E83">
        <w:rPr>
          <w:rFonts w:ascii="Times New Roman" w:hAnsi="Times New Roman" w:cs="Times New Roman"/>
        </w:rPr>
        <w:t xml:space="preserve"> regularly in Q3 and Q4, representing the recruitment of age</w:t>
      </w:r>
      <w:r w:rsidR="005858F4">
        <w:rPr>
          <w:rFonts w:ascii="Times New Roman" w:hAnsi="Times New Roman" w:cs="Times New Roman"/>
        </w:rPr>
        <w:t>-</w:t>
      </w:r>
      <w:r w:rsidR="00F11E83" w:rsidRPr="00F11E83">
        <w:rPr>
          <w:rFonts w:ascii="Times New Roman" w:hAnsi="Times New Roman" w:cs="Times New Roman"/>
        </w:rPr>
        <w:t>0 fish to fishery appear</w:t>
      </w:r>
      <w:r w:rsidR="008974FE">
        <w:rPr>
          <w:rFonts w:ascii="Times New Roman" w:hAnsi="Times New Roman" w:cs="Times New Roman"/>
        </w:rPr>
        <w:t>ed</w:t>
      </w:r>
      <w:r w:rsidR="00F11E83" w:rsidRPr="00F11E83">
        <w:rPr>
          <w:rFonts w:ascii="Times New Roman" w:hAnsi="Times New Roman" w:cs="Times New Roman"/>
        </w:rPr>
        <w:t xml:space="preserve"> after Q</w:t>
      </w:r>
      <w:r w:rsidR="00CF36FF">
        <w:rPr>
          <w:rFonts w:ascii="Times New Roman" w:hAnsi="Times New Roman" w:cs="Times New Roman"/>
        </w:rPr>
        <w:t>2</w:t>
      </w:r>
      <w:r w:rsidR="00F11E83" w:rsidRPr="00F11E83">
        <w:rPr>
          <w:rFonts w:ascii="Times New Roman" w:hAnsi="Times New Roman" w:cs="Times New Roman"/>
        </w:rPr>
        <w:t>.</w:t>
      </w:r>
      <w:r w:rsidR="003C38F5" w:rsidRPr="5D4090D1">
        <w:rPr>
          <w:rFonts w:ascii="Times New Roman" w:hAnsi="Times New Roman" w:cs="Times New Roman"/>
        </w:rPr>
        <w:t xml:space="preserve"> </w:t>
      </w:r>
      <w:r w:rsidR="003961A5" w:rsidRPr="5D4090D1">
        <w:rPr>
          <w:rFonts w:ascii="Times New Roman" w:hAnsi="Times New Roman" w:cs="Times New Roman"/>
        </w:rPr>
        <w:t>Th</w:t>
      </w:r>
      <w:r w:rsidR="003403E6">
        <w:rPr>
          <w:rFonts w:ascii="Times New Roman" w:hAnsi="Times New Roman" w:cs="Times New Roman"/>
        </w:rPr>
        <w:t>ese</w:t>
      </w:r>
      <w:r w:rsidR="003961A5" w:rsidRPr="5D4090D1">
        <w:rPr>
          <w:rFonts w:ascii="Times New Roman" w:hAnsi="Times New Roman" w:cs="Times New Roman"/>
        </w:rPr>
        <w:t xml:space="preserve"> result</w:t>
      </w:r>
      <w:r w:rsidR="003403E6">
        <w:rPr>
          <w:rFonts w:ascii="Times New Roman" w:hAnsi="Times New Roman" w:cs="Times New Roman"/>
        </w:rPr>
        <w:t>s</w:t>
      </w:r>
      <w:r w:rsidR="003961A5" w:rsidRPr="5D4090D1">
        <w:rPr>
          <w:rFonts w:ascii="Times New Roman" w:hAnsi="Times New Roman" w:cs="Times New Roman"/>
        </w:rPr>
        <w:t xml:space="preserve"> support setting of </w:t>
      </w:r>
      <w:r w:rsidR="008974FE">
        <w:rPr>
          <w:rFonts w:ascii="Times New Roman" w:hAnsi="Times New Roman" w:cs="Times New Roman"/>
        </w:rPr>
        <w:t>a</w:t>
      </w:r>
      <w:r w:rsidR="003961A5" w:rsidRPr="5D4090D1">
        <w:rPr>
          <w:rFonts w:ascii="Times New Roman" w:hAnsi="Times New Roman" w:cs="Times New Roman"/>
        </w:rPr>
        <w:t xml:space="preserve"> fishing year starting from July and end in June</w:t>
      </w:r>
      <w:r w:rsidR="003961A5">
        <w:rPr>
          <w:rFonts w:ascii="Times New Roman" w:hAnsi="Times New Roman" w:cs="Times New Roman"/>
        </w:rPr>
        <w:t>, which has been</w:t>
      </w:r>
      <w:r w:rsidR="003961A5" w:rsidRPr="5D4090D1">
        <w:rPr>
          <w:rFonts w:ascii="Times New Roman" w:hAnsi="Times New Roman" w:cs="Times New Roman"/>
        </w:rPr>
        <w:t xml:space="preserve"> employed in the Japanese domestic stock assessment on CM.</w:t>
      </w:r>
    </w:p>
    <w:p w14:paraId="44B0F855" w14:textId="5F4B75F2" w:rsidR="00B33A3F" w:rsidRDefault="004E6927" w:rsidP="00F21218">
      <w:pPr>
        <w:ind w:firstLineChars="250" w:firstLine="525"/>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weight at age </w:t>
      </w:r>
      <w:r w:rsidR="007C054D">
        <w:rPr>
          <w:rFonts w:ascii="Times New Roman" w:hAnsi="Times New Roman" w:cs="Times New Roman"/>
        </w:rPr>
        <w:t>based on the quarterly calendar</w:t>
      </w:r>
      <w:r w:rsidR="0081521F">
        <w:rPr>
          <w:rFonts w:ascii="Times New Roman" w:hAnsi="Times New Roman" w:cs="Times New Roman"/>
        </w:rPr>
        <w:t xml:space="preserve">, which was provided through </w:t>
      </w:r>
      <w:r w:rsidR="00B332F8">
        <w:rPr>
          <w:rFonts w:ascii="Times New Roman" w:hAnsi="Times New Roman" w:cs="Times New Roman"/>
        </w:rPr>
        <w:t xml:space="preserve">the catch in weight at </w:t>
      </w:r>
      <w:r w:rsidR="00CE2438">
        <w:rPr>
          <w:rFonts w:ascii="Times New Roman" w:hAnsi="Times New Roman" w:cs="Times New Roman"/>
        </w:rPr>
        <w:t>age with the catch number at age,</w:t>
      </w:r>
      <w:r w:rsidR="007C054D">
        <w:rPr>
          <w:rFonts w:ascii="Times New Roman" w:hAnsi="Times New Roman" w:cs="Times New Roman"/>
        </w:rPr>
        <w:t xml:space="preserve"> is shown in Table 2. </w:t>
      </w:r>
      <w:r w:rsidR="00402562">
        <w:rPr>
          <w:rFonts w:ascii="Times New Roman" w:hAnsi="Times New Roman" w:cs="Times New Roman"/>
        </w:rPr>
        <w:t>T</w:t>
      </w:r>
      <w:r w:rsidR="000A7531">
        <w:rPr>
          <w:rFonts w:ascii="Times New Roman" w:hAnsi="Times New Roman" w:cs="Times New Roman"/>
        </w:rPr>
        <w:t xml:space="preserve">he weight by year class </w:t>
      </w:r>
      <w:r w:rsidR="008A08B0">
        <w:rPr>
          <w:rFonts w:ascii="Times New Roman" w:hAnsi="Times New Roman" w:cs="Times New Roman"/>
        </w:rPr>
        <w:t>gr</w:t>
      </w:r>
      <w:r w:rsidR="00B95894">
        <w:rPr>
          <w:rFonts w:ascii="Times New Roman" w:hAnsi="Times New Roman" w:cs="Times New Roman" w:hint="eastAsia"/>
        </w:rPr>
        <w:t>e</w:t>
      </w:r>
      <w:r w:rsidR="008A08B0">
        <w:rPr>
          <w:rFonts w:ascii="Times New Roman" w:hAnsi="Times New Roman" w:cs="Times New Roman"/>
        </w:rPr>
        <w:t xml:space="preserve">w across the quarter, showing </w:t>
      </w:r>
      <w:r w:rsidR="00EB4F20">
        <w:rPr>
          <w:rFonts w:ascii="Times New Roman" w:hAnsi="Times New Roman" w:cs="Times New Roman"/>
        </w:rPr>
        <w:t>different growth rates</w:t>
      </w:r>
      <w:r w:rsidR="00B95894">
        <w:rPr>
          <w:rFonts w:ascii="Times New Roman" w:hAnsi="Times New Roman" w:cs="Times New Roman"/>
        </w:rPr>
        <w:t xml:space="preserve"> among cohorts (Fig. 2). </w:t>
      </w:r>
    </w:p>
    <w:p w14:paraId="492AFB82" w14:textId="355D62C9" w:rsidR="0012515E" w:rsidRDefault="00D9665F" w:rsidP="00B017B2">
      <w:pPr>
        <w:ind w:firstLineChars="250" w:firstLine="525"/>
        <w:rPr>
          <w:rFonts w:ascii="Times New Roman" w:hAnsi="Times New Roman" w:cs="Times New Roman"/>
        </w:rPr>
      </w:pPr>
      <w:r w:rsidRPr="00D9665F">
        <w:rPr>
          <w:rFonts w:ascii="Times New Roman" w:hAnsi="Times New Roman" w:cs="Times New Roman"/>
        </w:rPr>
        <w:t xml:space="preserve">Quarterly GSI by age is shown in Fig. 3 and proportion of matured individuals by age for each quarter is shown in Fig 4. Based on Yukami et al. (2019), the criterion of maturation </w:t>
      </w:r>
      <w:r w:rsidR="00FB171E">
        <w:rPr>
          <w:rFonts w:ascii="Times New Roman" w:hAnsi="Times New Roman" w:cs="Times New Roman"/>
        </w:rPr>
        <w:t>was</w:t>
      </w:r>
      <w:r w:rsidR="00FB171E" w:rsidRPr="00D9665F">
        <w:rPr>
          <w:rFonts w:ascii="Times New Roman" w:hAnsi="Times New Roman" w:cs="Times New Roman"/>
        </w:rPr>
        <w:t xml:space="preserve"> </w:t>
      </w:r>
      <w:r w:rsidRPr="00D9665F">
        <w:rPr>
          <w:rFonts w:ascii="Times New Roman" w:hAnsi="Times New Roman" w:cs="Times New Roman"/>
        </w:rPr>
        <w:t xml:space="preserve">set as GSI &gt; 2.5. Matured individuals were dominated for </w:t>
      </w:r>
      <w:r w:rsidR="00FB171E" w:rsidRPr="00D9665F">
        <w:rPr>
          <w:rFonts w:ascii="Times New Roman" w:hAnsi="Times New Roman" w:cs="Times New Roman"/>
        </w:rPr>
        <w:t>age</w:t>
      </w:r>
      <w:r w:rsidR="00FB171E">
        <w:rPr>
          <w:rFonts w:ascii="Times New Roman" w:hAnsi="Times New Roman" w:cs="Times New Roman"/>
        </w:rPr>
        <w:t>-</w:t>
      </w:r>
      <w:r w:rsidRPr="00D9665F">
        <w:rPr>
          <w:rFonts w:ascii="Times New Roman" w:hAnsi="Times New Roman" w:cs="Times New Roman"/>
        </w:rPr>
        <w:t xml:space="preserve">2 and above in Q1 and Q2, however, scarce in all ages in Q3 and Q4 (Fig. 3). Likewise, the proportion of matured individuals by age per quarter </w:t>
      </w:r>
      <w:r w:rsidR="00FB171E" w:rsidRPr="00D9665F">
        <w:rPr>
          <w:rFonts w:ascii="Times New Roman" w:hAnsi="Times New Roman" w:cs="Times New Roman"/>
        </w:rPr>
        <w:t>exhibit</w:t>
      </w:r>
      <w:r w:rsidR="00FB171E">
        <w:rPr>
          <w:rFonts w:ascii="Times New Roman" w:hAnsi="Times New Roman" w:cs="Times New Roman"/>
        </w:rPr>
        <w:t>ed</w:t>
      </w:r>
      <w:r w:rsidR="00FB171E" w:rsidRPr="00D9665F">
        <w:rPr>
          <w:rFonts w:ascii="Times New Roman" w:hAnsi="Times New Roman" w:cs="Times New Roman"/>
        </w:rPr>
        <w:t xml:space="preserve"> </w:t>
      </w:r>
      <w:r w:rsidRPr="00D9665F">
        <w:rPr>
          <w:rFonts w:ascii="Times New Roman" w:hAnsi="Times New Roman" w:cs="Times New Roman"/>
        </w:rPr>
        <w:t>the similar pattern in Q1 and Q2, showing the increasing trend of proportion of matured individuals from age-2 and above with greater proportion in higher ages (</w:t>
      </w:r>
      <w:proofErr w:type="gramStart"/>
      <w:r w:rsidRPr="00D9665F">
        <w:rPr>
          <w:rFonts w:ascii="Times New Roman" w:hAnsi="Times New Roman" w:cs="Times New Roman"/>
        </w:rPr>
        <w:t>e.g.</w:t>
      </w:r>
      <w:proofErr w:type="gramEnd"/>
      <w:r w:rsidRPr="00D9665F">
        <w:rPr>
          <w:rFonts w:ascii="Times New Roman" w:hAnsi="Times New Roman" w:cs="Times New Roman"/>
        </w:rPr>
        <w:t xml:space="preserve"> age-4 and above). The proportion of matured individuals were scarce in Q3 and Q4; resulting completely lack of matured individuals except for 2015 and 2016 in Q4 (Fig 4). The pattern of appearance of matured individual in each quarter is due to the spawning season which lies between Q1 and Q2. Since fishes were post-spawning in Q3 and Q4, the gonads were underdeveloped, hence, considered as immature based on the GSI criterion. The present analysis of proportion of maturated individuals at age properly shown the trend of maturation based on the seasonal gonadal development. Additionally, the result </w:t>
      </w:r>
      <w:r w:rsidR="00FD2E46">
        <w:rPr>
          <w:rFonts w:ascii="Times New Roman" w:hAnsi="Times New Roman" w:cs="Times New Roman"/>
        </w:rPr>
        <w:t>is convincing in terms of</w:t>
      </w:r>
      <w:r w:rsidRPr="00D9665F">
        <w:rPr>
          <w:rFonts w:ascii="Times New Roman" w:hAnsi="Times New Roman" w:cs="Times New Roman"/>
        </w:rPr>
        <w:t xml:space="preserve"> the maturity at age of the current domestic stock assessment of Japan, </w:t>
      </w:r>
      <w:r w:rsidR="002A326A">
        <w:rPr>
          <w:rFonts w:ascii="Times New Roman" w:hAnsi="Times New Roman" w:cs="Times New Roman"/>
        </w:rPr>
        <w:t>where</w:t>
      </w:r>
      <w:r w:rsidR="002A326A" w:rsidRPr="00D9665F">
        <w:rPr>
          <w:rFonts w:ascii="Times New Roman" w:hAnsi="Times New Roman" w:cs="Times New Roman"/>
        </w:rPr>
        <w:t xml:space="preserve"> </w:t>
      </w:r>
      <w:r w:rsidRPr="00D9665F">
        <w:rPr>
          <w:rFonts w:ascii="Times New Roman" w:hAnsi="Times New Roman" w:cs="Times New Roman"/>
        </w:rPr>
        <w:t xml:space="preserve">the maturity-at-age is determined based on the Watanabe and </w:t>
      </w:r>
      <w:proofErr w:type="spellStart"/>
      <w:r w:rsidRPr="00D9665F">
        <w:rPr>
          <w:rFonts w:ascii="Times New Roman" w:hAnsi="Times New Roman" w:cs="Times New Roman"/>
        </w:rPr>
        <w:t>Yatsu</w:t>
      </w:r>
      <w:proofErr w:type="spellEnd"/>
      <w:r w:rsidRPr="00D9665F">
        <w:rPr>
          <w:rFonts w:ascii="Times New Roman" w:hAnsi="Times New Roman" w:cs="Times New Roman"/>
        </w:rPr>
        <w:t xml:space="preserve"> (2006) and Watanabe (2010) considering the stock level.</w:t>
      </w:r>
    </w:p>
    <w:p w14:paraId="5826DB5E" w14:textId="717A21C9" w:rsidR="008F3CC8" w:rsidRDefault="00B8424D" w:rsidP="00B017B2">
      <w:pPr>
        <w:ind w:firstLineChars="250" w:firstLine="525"/>
        <w:rPr>
          <w:rFonts w:ascii="Times New Roman" w:hAnsi="Times New Roman" w:cs="Times New Roman"/>
        </w:rPr>
      </w:pPr>
      <w:r>
        <w:rPr>
          <w:rFonts w:ascii="Times New Roman" w:hAnsi="Times New Roman" w:cs="Times New Roman"/>
        </w:rPr>
        <w:t>Because of t</w:t>
      </w:r>
      <w:r w:rsidR="005C2F46">
        <w:rPr>
          <w:rFonts w:ascii="Times New Roman" w:hAnsi="Times New Roman" w:cs="Times New Roman"/>
        </w:rPr>
        <w:t>he s</w:t>
      </w:r>
      <w:r w:rsidR="008F3CC8">
        <w:rPr>
          <w:rFonts w:ascii="Times New Roman" w:hAnsi="Times New Roman" w:cs="Times New Roman"/>
        </w:rPr>
        <w:t xml:space="preserve">pawning </w:t>
      </w:r>
      <w:r w:rsidR="005C2F46">
        <w:rPr>
          <w:rFonts w:ascii="Times New Roman" w:hAnsi="Times New Roman" w:cs="Times New Roman"/>
        </w:rPr>
        <w:t xml:space="preserve">season </w:t>
      </w:r>
      <w:r w:rsidR="008F3CC8">
        <w:rPr>
          <w:rFonts w:ascii="Times New Roman" w:hAnsi="Times New Roman" w:cs="Times New Roman"/>
        </w:rPr>
        <w:t xml:space="preserve">of CM </w:t>
      </w:r>
      <w:r w:rsidR="00DB2FDB">
        <w:rPr>
          <w:rFonts w:ascii="Times New Roman" w:hAnsi="Times New Roman" w:cs="Times New Roman" w:hint="eastAsia"/>
        </w:rPr>
        <w:t>f</w:t>
      </w:r>
      <w:r w:rsidR="00DB2FDB">
        <w:rPr>
          <w:rFonts w:ascii="Times New Roman" w:hAnsi="Times New Roman" w:cs="Times New Roman"/>
        </w:rPr>
        <w:t>rom</w:t>
      </w:r>
      <w:r w:rsidR="00D419BE">
        <w:rPr>
          <w:rFonts w:ascii="Times New Roman" w:hAnsi="Times New Roman" w:cs="Times New Roman"/>
        </w:rPr>
        <w:t xml:space="preserve"> Q1 </w:t>
      </w:r>
      <w:r w:rsidR="00DB2FDB">
        <w:rPr>
          <w:rFonts w:ascii="Times New Roman" w:hAnsi="Times New Roman" w:cs="Times New Roman"/>
        </w:rPr>
        <w:t>to</w:t>
      </w:r>
      <w:r w:rsidR="00D419BE">
        <w:rPr>
          <w:rFonts w:ascii="Times New Roman" w:hAnsi="Times New Roman" w:cs="Times New Roman"/>
        </w:rPr>
        <w:t xml:space="preserve"> Q2</w:t>
      </w:r>
      <w:r>
        <w:rPr>
          <w:rFonts w:ascii="Times New Roman" w:hAnsi="Times New Roman" w:cs="Times New Roman"/>
        </w:rPr>
        <w:t>,</w:t>
      </w:r>
      <w:r w:rsidR="005C2F46">
        <w:rPr>
          <w:rFonts w:ascii="Times New Roman" w:hAnsi="Times New Roman" w:cs="Times New Roman"/>
        </w:rPr>
        <w:t xml:space="preserve"> </w:t>
      </w:r>
      <w:r w:rsidR="00780AB5">
        <w:rPr>
          <w:rFonts w:ascii="Times New Roman" w:hAnsi="Times New Roman" w:cs="Times New Roman"/>
        </w:rPr>
        <w:t>age increment</w:t>
      </w:r>
      <w:r w:rsidR="00851EAA">
        <w:rPr>
          <w:rFonts w:ascii="Times New Roman" w:hAnsi="Times New Roman" w:cs="Times New Roman"/>
        </w:rPr>
        <w:t xml:space="preserve"> </w:t>
      </w:r>
      <w:r w:rsidR="00AF4C76">
        <w:rPr>
          <w:rFonts w:ascii="Times New Roman" w:hAnsi="Times New Roman" w:cs="Times New Roman"/>
        </w:rPr>
        <w:t>occurs</w:t>
      </w:r>
      <w:r w:rsidR="0008740F">
        <w:rPr>
          <w:rFonts w:ascii="Times New Roman" w:hAnsi="Times New Roman" w:cs="Times New Roman"/>
        </w:rPr>
        <w:t xml:space="preserve"> </w:t>
      </w:r>
      <w:r w:rsidR="000D5377">
        <w:rPr>
          <w:rFonts w:ascii="Times New Roman" w:hAnsi="Times New Roman" w:cs="Times New Roman"/>
        </w:rPr>
        <w:t>in the middle of</w:t>
      </w:r>
      <w:r w:rsidR="00967E56">
        <w:rPr>
          <w:rFonts w:ascii="Times New Roman" w:hAnsi="Times New Roman" w:cs="Times New Roman"/>
        </w:rPr>
        <w:t xml:space="preserve"> </w:t>
      </w:r>
      <w:r w:rsidR="00967E56">
        <w:rPr>
          <w:rFonts w:ascii="Times New Roman" w:hAnsi="Times New Roman" w:cs="Times New Roman"/>
        </w:rPr>
        <w:lastRenderedPageBreak/>
        <w:t>the</w:t>
      </w:r>
      <w:r w:rsidR="0008740F">
        <w:rPr>
          <w:rFonts w:ascii="Times New Roman" w:hAnsi="Times New Roman" w:cs="Times New Roman"/>
        </w:rPr>
        <w:t xml:space="preserve"> </w:t>
      </w:r>
      <w:r w:rsidR="00967E56">
        <w:rPr>
          <w:rFonts w:ascii="Times New Roman" w:hAnsi="Times New Roman" w:cs="Times New Roman"/>
        </w:rPr>
        <w:t xml:space="preserve">calendar </w:t>
      </w:r>
      <w:r w:rsidR="0008740F">
        <w:rPr>
          <w:rFonts w:ascii="Times New Roman" w:hAnsi="Times New Roman" w:cs="Times New Roman"/>
        </w:rPr>
        <w:t>year</w:t>
      </w:r>
      <w:r>
        <w:rPr>
          <w:rFonts w:ascii="Times New Roman" w:hAnsi="Times New Roman" w:cs="Times New Roman"/>
        </w:rPr>
        <w:t xml:space="preserve">. </w:t>
      </w:r>
      <w:r w:rsidR="51D3CF92" w:rsidRPr="7020594E">
        <w:rPr>
          <w:rFonts w:ascii="Times New Roman" w:hAnsi="Times New Roman" w:cs="Times New Roman"/>
        </w:rPr>
        <w:t>Based</w:t>
      </w:r>
      <w:r w:rsidR="0080163F">
        <w:rPr>
          <w:rFonts w:ascii="Times New Roman" w:hAnsi="Times New Roman" w:cs="Times New Roman"/>
        </w:rPr>
        <w:t xml:space="preserve"> on </w:t>
      </w:r>
      <w:r w:rsidR="002632D1">
        <w:rPr>
          <w:rFonts w:ascii="Times New Roman" w:hAnsi="Times New Roman" w:cs="Times New Roman"/>
        </w:rPr>
        <w:t xml:space="preserve">this biological aspect </w:t>
      </w:r>
      <w:r w:rsidR="00D07687">
        <w:rPr>
          <w:rFonts w:ascii="Times New Roman" w:hAnsi="Times New Roman" w:cs="Times New Roman"/>
        </w:rPr>
        <w:t xml:space="preserve">of this species, </w:t>
      </w:r>
      <w:r w:rsidR="2C13C051" w:rsidRPr="7020594E">
        <w:rPr>
          <w:rFonts w:ascii="Times New Roman" w:hAnsi="Times New Roman" w:cs="Times New Roman"/>
        </w:rPr>
        <w:t xml:space="preserve">an </w:t>
      </w:r>
      <w:r w:rsidR="00D07687">
        <w:rPr>
          <w:rFonts w:ascii="Times New Roman" w:hAnsi="Times New Roman" w:cs="Times New Roman"/>
        </w:rPr>
        <w:t xml:space="preserve">application of the calendar year </w:t>
      </w:r>
      <w:r w:rsidR="0035192A">
        <w:rPr>
          <w:rFonts w:ascii="Times New Roman" w:hAnsi="Times New Roman" w:cs="Times New Roman"/>
        </w:rPr>
        <w:t xml:space="preserve">will </w:t>
      </w:r>
      <w:r w:rsidR="001A5845">
        <w:rPr>
          <w:rFonts w:ascii="Times New Roman" w:hAnsi="Times New Roman" w:cs="Times New Roman"/>
        </w:rPr>
        <w:t>c</w:t>
      </w:r>
      <w:r w:rsidR="002C439C">
        <w:rPr>
          <w:rFonts w:ascii="Times New Roman" w:hAnsi="Times New Roman" w:cs="Times New Roman"/>
        </w:rPr>
        <w:t xml:space="preserve">ause a significant problem that </w:t>
      </w:r>
      <w:r w:rsidR="00446861">
        <w:rPr>
          <w:rFonts w:ascii="Times New Roman" w:hAnsi="Times New Roman" w:cs="Times New Roman"/>
        </w:rPr>
        <w:t>two year</w:t>
      </w:r>
      <w:r w:rsidR="002C7FDF">
        <w:rPr>
          <w:rFonts w:ascii="Times New Roman" w:hAnsi="Times New Roman" w:cs="Times New Roman"/>
        </w:rPr>
        <w:t>-</w:t>
      </w:r>
      <w:r w:rsidR="00446861">
        <w:rPr>
          <w:rFonts w:ascii="Times New Roman" w:hAnsi="Times New Roman" w:cs="Times New Roman"/>
        </w:rPr>
        <w:t xml:space="preserve">classes </w:t>
      </w:r>
      <w:r w:rsidR="00FD7067">
        <w:rPr>
          <w:rFonts w:ascii="Times New Roman" w:hAnsi="Times New Roman" w:cs="Times New Roman"/>
        </w:rPr>
        <w:t>could be</w:t>
      </w:r>
      <w:r w:rsidR="00446861">
        <w:rPr>
          <w:rFonts w:ascii="Times New Roman" w:hAnsi="Times New Roman" w:cs="Times New Roman"/>
        </w:rPr>
        <w:t xml:space="preserve"> included in an identical age class in the catch at age data</w:t>
      </w:r>
      <w:r w:rsidR="4F95096F" w:rsidRPr="7020594E">
        <w:rPr>
          <w:rFonts w:ascii="Times New Roman" w:hAnsi="Times New Roman" w:cs="Times New Roman"/>
        </w:rPr>
        <w:t xml:space="preserve"> in a single year.</w:t>
      </w:r>
      <w:r w:rsidR="0080163F">
        <w:rPr>
          <w:rFonts w:ascii="Times New Roman" w:hAnsi="Times New Roman" w:cs="Times New Roman"/>
        </w:rPr>
        <w:t xml:space="preserve"> </w:t>
      </w:r>
      <w:r w:rsidR="00722B3F">
        <w:rPr>
          <w:rFonts w:ascii="Times New Roman" w:hAnsi="Times New Roman" w:cs="Times New Roman"/>
        </w:rPr>
        <w:t>The</w:t>
      </w:r>
      <w:r w:rsidR="00476880">
        <w:rPr>
          <w:rFonts w:ascii="Times New Roman" w:hAnsi="Times New Roman" w:cs="Times New Roman"/>
        </w:rPr>
        <w:t xml:space="preserve"> periodicity </w:t>
      </w:r>
      <w:r w:rsidR="00DF79BE">
        <w:rPr>
          <w:rFonts w:ascii="Times New Roman" w:hAnsi="Times New Roman" w:cs="Times New Roman"/>
        </w:rPr>
        <w:t>of the</w:t>
      </w:r>
      <w:r w:rsidR="00A666CD">
        <w:rPr>
          <w:rFonts w:ascii="Times New Roman" w:hAnsi="Times New Roman" w:cs="Times New Roman"/>
        </w:rPr>
        <w:t xml:space="preserve"> variation </w:t>
      </w:r>
      <w:r w:rsidR="00807742">
        <w:rPr>
          <w:rFonts w:ascii="Times New Roman" w:hAnsi="Times New Roman" w:cs="Times New Roman"/>
        </w:rPr>
        <w:t>in</w:t>
      </w:r>
      <w:r w:rsidR="00A666CD">
        <w:rPr>
          <w:rFonts w:ascii="Times New Roman" w:hAnsi="Times New Roman" w:cs="Times New Roman"/>
        </w:rPr>
        <w:t xml:space="preserve"> the quarterly catch</w:t>
      </w:r>
      <w:r w:rsidR="00554455">
        <w:rPr>
          <w:rFonts w:ascii="Times New Roman" w:hAnsi="Times New Roman" w:cs="Times New Roman"/>
        </w:rPr>
        <w:t xml:space="preserve"> which </w:t>
      </w:r>
      <w:r w:rsidR="005F6AD0">
        <w:rPr>
          <w:rFonts w:ascii="Times New Roman" w:hAnsi="Times New Roman" w:cs="Times New Roman"/>
        </w:rPr>
        <w:t>had a peak in Q1 or Q4</w:t>
      </w:r>
      <w:r w:rsidR="00BE1A55">
        <w:rPr>
          <w:rFonts w:ascii="Times New Roman" w:hAnsi="Times New Roman" w:cs="Times New Roman"/>
        </w:rPr>
        <w:t xml:space="preserve"> annually</w:t>
      </w:r>
      <w:r w:rsidR="00722B3F">
        <w:rPr>
          <w:rFonts w:ascii="Times New Roman" w:hAnsi="Times New Roman" w:cs="Times New Roman"/>
        </w:rPr>
        <w:t xml:space="preserve"> </w:t>
      </w:r>
      <w:r w:rsidR="002C0343">
        <w:rPr>
          <w:rFonts w:ascii="Times New Roman" w:hAnsi="Times New Roman" w:cs="Times New Roman"/>
        </w:rPr>
        <w:t>supp</w:t>
      </w:r>
      <w:r w:rsidR="003F6A79">
        <w:rPr>
          <w:rFonts w:ascii="Times New Roman" w:hAnsi="Times New Roman" w:cs="Times New Roman"/>
        </w:rPr>
        <w:t>orted the application of the fishing year employed in the Japanese domestic stock assessment.</w:t>
      </w:r>
      <w:r w:rsidR="00C03C55">
        <w:rPr>
          <w:rFonts w:ascii="Times New Roman" w:hAnsi="Times New Roman" w:cs="Times New Roman"/>
        </w:rPr>
        <w:t xml:space="preserve"> </w:t>
      </w:r>
      <w:r w:rsidR="00A350AC">
        <w:rPr>
          <w:rFonts w:ascii="Times New Roman" w:hAnsi="Times New Roman" w:cs="Times New Roman"/>
        </w:rPr>
        <w:t xml:space="preserve">It is concluded that </w:t>
      </w:r>
      <w:r w:rsidR="00A13EC7">
        <w:rPr>
          <w:rFonts w:ascii="Times New Roman" w:hAnsi="Times New Roman" w:cs="Times New Roman"/>
        </w:rPr>
        <w:t xml:space="preserve">the application of this fishing year can meet </w:t>
      </w:r>
      <w:r w:rsidR="003473BA">
        <w:rPr>
          <w:rFonts w:ascii="Times New Roman" w:hAnsi="Times New Roman" w:cs="Times New Roman"/>
        </w:rPr>
        <w:t xml:space="preserve">two </w:t>
      </w:r>
      <w:r w:rsidR="00FC53C3">
        <w:rPr>
          <w:rFonts w:ascii="Times New Roman" w:hAnsi="Times New Roman" w:cs="Times New Roman"/>
        </w:rPr>
        <w:t xml:space="preserve">requirements </w:t>
      </w:r>
      <w:r w:rsidR="00C70852">
        <w:rPr>
          <w:rFonts w:ascii="Times New Roman" w:hAnsi="Times New Roman" w:cs="Times New Roman"/>
        </w:rPr>
        <w:t>with respect to</w:t>
      </w:r>
      <w:r w:rsidR="00DE7511">
        <w:rPr>
          <w:rFonts w:ascii="Times New Roman" w:hAnsi="Times New Roman" w:cs="Times New Roman"/>
        </w:rPr>
        <w:t xml:space="preserve"> biology and fishery.</w:t>
      </w:r>
    </w:p>
    <w:p w14:paraId="6CC5D628" w14:textId="373D3FB6" w:rsidR="0012515E" w:rsidRDefault="00086046" w:rsidP="00B017B2">
      <w:pPr>
        <w:ind w:firstLineChars="250" w:firstLine="525"/>
        <w:rPr>
          <w:rFonts w:ascii="Times New Roman" w:hAnsi="Times New Roman" w:cs="Times New Roman"/>
        </w:rPr>
      </w:pPr>
      <w:r w:rsidRPr="6B8367BD">
        <w:rPr>
          <w:rFonts w:ascii="Times New Roman" w:hAnsi="Times New Roman" w:cs="Times New Roman"/>
        </w:rPr>
        <w:t>In this document, the quarterly catch</w:t>
      </w:r>
      <w:r w:rsidR="002537AA" w:rsidRPr="6B8367BD">
        <w:rPr>
          <w:rFonts w:ascii="Times New Roman" w:hAnsi="Times New Roman" w:cs="Times New Roman"/>
        </w:rPr>
        <w:t xml:space="preserve">, weight, and maturity at age </w:t>
      </w:r>
      <w:r w:rsidRPr="6B8367BD">
        <w:rPr>
          <w:rFonts w:ascii="Times New Roman" w:hAnsi="Times New Roman" w:cs="Times New Roman"/>
        </w:rPr>
        <w:t xml:space="preserve">data from 2010 </w:t>
      </w:r>
      <w:r w:rsidR="00584474">
        <w:rPr>
          <w:rFonts w:ascii="Times New Roman" w:hAnsi="Times New Roman" w:cs="Times New Roman"/>
        </w:rPr>
        <w:t>was</w:t>
      </w:r>
      <w:r w:rsidR="00584474" w:rsidRPr="6B8367BD">
        <w:rPr>
          <w:rFonts w:ascii="Times New Roman" w:hAnsi="Times New Roman" w:cs="Times New Roman"/>
        </w:rPr>
        <w:t xml:space="preserve"> </w:t>
      </w:r>
      <w:r w:rsidRPr="6B8367BD">
        <w:rPr>
          <w:rFonts w:ascii="Times New Roman" w:hAnsi="Times New Roman" w:cs="Times New Roman"/>
        </w:rPr>
        <w:t>provided upon the request.</w:t>
      </w:r>
      <w:r w:rsidR="00F33499" w:rsidRPr="6B8367BD">
        <w:rPr>
          <w:rFonts w:ascii="Times New Roman" w:hAnsi="Times New Roman" w:cs="Times New Roman"/>
        </w:rPr>
        <w:t xml:space="preserve"> </w:t>
      </w:r>
      <w:r w:rsidR="002537AA" w:rsidRPr="6B8367BD">
        <w:rPr>
          <w:rFonts w:ascii="Times New Roman" w:hAnsi="Times New Roman" w:cs="Times New Roman"/>
        </w:rPr>
        <w:t xml:space="preserve">Owing to the </w:t>
      </w:r>
      <w:r w:rsidR="008131CD" w:rsidRPr="6B8367BD">
        <w:rPr>
          <w:rFonts w:ascii="Times New Roman" w:hAnsi="Times New Roman" w:cs="Times New Roman"/>
        </w:rPr>
        <w:t>current data availability, catch and weight at age data prior to 2010 cannot be divided in quarterly basis.</w:t>
      </w:r>
    </w:p>
    <w:p w14:paraId="53D14F6E" w14:textId="43C1E955" w:rsidR="009C4DE4" w:rsidRDefault="009C4DE4" w:rsidP="009C4DE4">
      <w:pPr>
        <w:ind w:firstLineChars="250" w:firstLine="525"/>
        <w:rPr>
          <w:rFonts w:ascii="Times New Roman" w:hAnsi="Times New Roman" w:cs="Times New Roman"/>
        </w:rPr>
      </w:pPr>
      <w:r w:rsidRPr="02E973C8">
        <w:rPr>
          <w:rFonts w:ascii="Times New Roman" w:hAnsi="Times New Roman" w:cs="Times New Roman"/>
        </w:rPr>
        <w:t xml:space="preserve">The temporal length of data, hence the quantity of the data, is a fundamental part to yield a robust stock assessment (Chen et al. 2003). The domestic stock assessment of chub mackerel in Japan uses data from 1970, resulting in accumulating more than 50 years of catch at age and corresponding biological data. The data includes variety of phenomena such as the population dynamics in high and low stock levels and recent appearance of strong year class. Considering the catch at age data from Japanese fleet outnumbers the data from the other </w:t>
      </w:r>
      <w:r w:rsidR="00892942">
        <w:rPr>
          <w:rFonts w:ascii="Times New Roman" w:hAnsi="Times New Roman" w:cs="Times New Roman"/>
        </w:rPr>
        <w:t>members</w:t>
      </w:r>
      <w:r w:rsidRPr="02E973C8">
        <w:rPr>
          <w:rFonts w:ascii="Times New Roman" w:hAnsi="Times New Roman" w:cs="Times New Roman"/>
        </w:rPr>
        <w:t xml:space="preserve">, it is critical to include the data into stock assessment for NPFC. </w:t>
      </w:r>
      <w:r w:rsidR="006C67C5" w:rsidRPr="6B8367BD">
        <w:rPr>
          <w:rFonts w:ascii="Times New Roman" w:hAnsi="Times New Roman" w:cs="Times New Roman"/>
        </w:rPr>
        <w:t xml:space="preserve">Therefore, it is important to consider the </w:t>
      </w:r>
      <w:r w:rsidR="00700661">
        <w:rPr>
          <w:rFonts w:ascii="Times New Roman" w:hAnsi="Times New Roman" w:cs="Times New Roman"/>
        </w:rPr>
        <w:t>application</w:t>
      </w:r>
      <w:r w:rsidR="006C67C5" w:rsidRPr="6B8367BD">
        <w:rPr>
          <w:rFonts w:ascii="Times New Roman" w:hAnsi="Times New Roman" w:cs="Times New Roman"/>
        </w:rPr>
        <w:t xml:space="preserve"> of the fishing year to the stock assessment of CM in NPFC to fully maximize the quantity of the data to yield a robust stock assessment.</w:t>
      </w:r>
    </w:p>
    <w:p w14:paraId="70442B5A" w14:textId="02401382" w:rsidR="00A878B2" w:rsidRPr="009C4DE4" w:rsidRDefault="00A878B2">
      <w:pPr>
        <w:rPr>
          <w:rFonts w:ascii="Times New Roman" w:hAnsi="Times New Roman" w:cs="Times New Roman"/>
        </w:rPr>
      </w:pPr>
    </w:p>
    <w:p w14:paraId="6F3926C9" w14:textId="2CE5B6E7" w:rsidR="00A878B2" w:rsidRPr="00862868" w:rsidRDefault="00A878B2">
      <w:pPr>
        <w:rPr>
          <w:rFonts w:ascii="Times New Roman" w:hAnsi="Times New Roman" w:cs="Times New Roman"/>
          <w:b/>
          <w:bCs/>
        </w:rPr>
      </w:pPr>
      <w:r w:rsidRPr="00862868">
        <w:rPr>
          <w:rFonts w:ascii="Times New Roman" w:hAnsi="Times New Roman" w:cs="Times New Roman"/>
          <w:b/>
          <w:bCs/>
        </w:rPr>
        <w:t>References</w:t>
      </w:r>
    </w:p>
    <w:p w14:paraId="49A35FE8" w14:textId="7C10E3C8" w:rsidR="00EA74EE" w:rsidRDefault="00EA74EE" w:rsidP="000B4E31">
      <w:pPr>
        <w:ind w:left="567" w:hangingChars="270" w:hanging="567"/>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hen, Y., Chen, L., Stergiou, K.I. (2003). Impacts of data quantity of fisheries stock assessment. </w:t>
      </w:r>
      <w:proofErr w:type="spellStart"/>
      <w:r>
        <w:rPr>
          <w:rFonts w:ascii="Times New Roman" w:hAnsi="Times New Roman" w:cs="Times New Roman"/>
        </w:rPr>
        <w:t>Aquat</w:t>
      </w:r>
      <w:proofErr w:type="spellEnd"/>
      <w:r>
        <w:rPr>
          <w:rFonts w:ascii="Times New Roman" w:hAnsi="Times New Roman" w:cs="Times New Roman"/>
        </w:rPr>
        <w:t>. Sci. 65. 1-7.</w:t>
      </w:r>
    </w:p>
    <w:p w14:paraId="227D9B76" w14:textId="2FA43574" w:rsidR="00D9665F" w:rsidRDefault="000E6618" w:rsidP="000B4E31">
      <w:pPr>
        <w:ind w:left="567" w:hangingChars="270" w:hanging="567"/>
        <w:rPr>
          <w:rFonts w:ascii="Times New Roman" w:hAnsi="Times New Roman" w:cs="Times New Roman"/>
        </w:rPr>
      </w:pPr>
      <w:r w:rsidRPr="414BDE45">
        <w:rPr>
          <w:rFonts w:ascii="Times New Roman" w:hAnsi="Times New Roman" w:cs="Times New Roman"/>
        </w:rPr>
        <w:t>5th Meeting of the Technical Working Group on Chub Mackerel Stock Assessment. 2022. 5</w:t>
      </w:r>
      <w:r w:rsidRPr="414BDE45">
        <w:rPr>
          <w:rFonts w:ascii="Times New Roman" w:hAnsi="Times New Roman" w:cs="Times New Roman"/>
          <w:vertAlign w:val="superscript"/>
        </w:rPr>
        <w:t>th</w:t>
      </w:r>
      <w:r w:rsidRPr="414BDE45">
        <w:rPr>
          <w:rFonts w:ascii="Times New Roman" w:hAnsi="Times New Roman" w:cs="Times New Roman"/>
        </w:rPr>
        <w:t xml:space="preserve"> Meeting Report. NPFC-2022-TWG CMSA05-Final Report. 24 pp. (Available at </w:t>
      </w:r>
      <w:hyperlink r:id="rId9" w:history="1">
        <w:r w:rsidRPr="414BDE45">
          <w:rPr>
            <w:rStyle w:val="Hyperlink"/>
            <w:rFonts w:ascii="Times New Roman" w:hAnsi="Times New Roman" w:cs="Times New Roman"/>
          </w:rPr>
          <w:t>www.npfc.int</w:t>
        </w:r>
      </w:hyperlink>
      <w:r w:rsidRPr="414BDE45">
        <w:rPr>
          <w:rFonts w:ascii="Times New Roman" w:hAnsi="Times New Roman" w:cs="Times New Roman"/>
        </w:rPr>
        <w:t>)</w:t>
      </w:r>
    </w:p>
    <w:p w14:paraId="34A9BCF5" w14:textId="3713102F" w:rsidR="414BDE45" w:rsidRDefault="414BDE45" w:rsidP="414BDE45">
      <w:pPr>
        <w:ind w:left="567" w:hangingChars="270" w:hanging="567"/>
        <w:rPr>
          <w:rFonts w:ascii="Times New Roman" w:hAnsi="Times New Roman" w:cs="Times New Roman"/>
        </w:rPr>
      </w:pPr>
      <w:r w:rsidRPr="414BDE45">
        <w:rPr>
          <w:rFonts w:ascii="Times New Roman" w:hAnsi="Times New Roman" w:cs="Times New Roman"/>
        </w:rPr>
        <w:t>Manabe, A. and Yukami, R. (2020). Catch, weight, and maturity at age of the chub mackerel of Japan. NPFC-2020-TWG_CMSA03-WP02, pp1-19.</w:t>
      </w:r>
    </w:p>
    <w:p w14:paraId="1A44F320" w14:textId="77777777" w:rsidR="00D9665F" w:rsidRPr="00D9665F" w:rsidRDefault="00D9665F" w:rsidP="00D9665F">
      <w:pPr>
        <w:ind w:left="567" w:hangingChars="270" w:hanging="567"/>
        <w:rPr>
          <w:rFonts w:ascii="Times New Roman" w:hAnsi="Times New Roman" w:cs="Times New Roman"/>
        </w:rPr>
      </w:pPr>
      <w:r w:rsidRPr="00D9665F">
        <w:rPr>
          <w:rFonts w:ascii="Times New Roman" w:hAnsi="Times New Roman" w:cs="Times New Roman"/>
        </w:rPr>
        <w:t>Manabe, A., Kamimura, Y., Ichinokawa, M., and Oshima, K. (2021). Maturity at age of chub mackerels under different stock level in the northwestern Pacific Ocean. NPFC-2021-TWG_CMSA-WP07, pp1-17.</w:t>
      </w:r>
    </w:p>
    <w:p w14:paraId="622FC01B" w14:textId="77777777" w:rsidR="00D9665F" w:rsidRPr="00D9665F" w:rsidRDefault="00D9665F" w:rsidP="00D9665F">
      <w:pPr>
        <w:ind w:left="567" w:hangingChars="270" w:hanging="567"/>
        <w:rPr>
          <w:rFonts w:ascii="Times New Roman" w:hAnsi="Times New Roman" w:cs="Times New Roman"/>
        </w:rPr>
      </w:pPr>
      <w:r w:rsidRPr="00D9665F">
        <w:rPr>
          <w:rFonts w:ascii="Times New Roman" w:hAnsi="Times New Roman" w:cs="Times New Roman"/>
        </w:rPr>
        <w:t xml:space="preserve">Watanabe, C., and </w:t>
      </w:r>
      <w:proofErr w:type="spellStart"/>
      <w:r w:rsidRPr="00D9665F">
        <w:rPr>
          <w:rFonts w:ascii="Times New Roman" w:hAnsi="Times New Roman" w:cs="Times New Roman"/>
        </w:rPr>
        <w:t>Yatsu</w:t>
      </w:r>
      <w:proofErr w:type="spellEnd"/>
      <w:r w:rsidRPr="00D9665F">
        <w:rPr>
          <w:rFonts w:ascii="Times New Roman" w:hAnsi="Times New Roman" w:cs="Times New Roman"/>
        </w:rPr>
        <w:t>, A. (2006). Long-term changes in maturity at age of chub mackerel (</w:t>
      </w:r>
      <w:proofErr w:type="spellStart"/>
      <w:r w:rsidRPr="00D9665F">
        <w:rPr>
          <w:rFonts w:ascii="Times New Roman" w:hAnsi="Times New Roman" w:cs="Times New Roman"/>
        </w:rPr>
        <w:t>Scomber</w:t>
      </w:r>
      <w:proofErr w:type="spellEnd"/>
      <w:r w:rsidRPr="00D9665F">
        <w:rPr>
          <w:rFonts w:ascii="Times New Roman" w:hAnsi="Times New Roman" w:cs="Times New Roman"/>
        </w:rPr>
        <w:t xml:space="preserve"> japonicus) in relation to population declines in the waters off northeastern Japan. Fish. Res. 78:2-3, 323-332. (</w:t>
      </w:r>
      <w:proofErr w:type="spellStart"/>
      <w:proofErr w:type="gramStart"/>
      <w:r w:rsidRPr="00D9665F">
        <w:rPr>
          <w:rFonts w:ascii="Times New Roman" w:hAnsi="Times New Roman" w:cs="Times New Roman"/>
        </w:rPr>
        <w:t>doi</w:t>
      </w:r>
      <w:proofErr w:type="spellEnd"/>
      <w:proofErr w:type="gramEnd"/>
      <w:r w:rsidRPr="00D9665F">
        <w:rPr>
          <w:rFonts w:ascii="Times New Roman" w:hAnsi="Times New Roman" w:cs="Times New Roman"/>
        </w:rPr>
        <w:t>: 10.1016/j.fishres.2006.01.001)</w:t>
      </w:r>
    </w:p>
    <w:p w14:paraId="3114DF0E" w14:textId="5CE9AF76" w:rsidR="00D9665F" w:rsidRDefault="00D9665F" w:rsidP="00D9665F">
      <w:pPr>
        <w:ind w:left="567" w:hangingChars="270" w:hanging="567"/>
        <w:rPr>
          <w:rFonts w:ascii="Times New Roman" w:hAnsi="Times New Roman" w:cs="Times New Roman"/>
        </w:rPr>
      </w:pPr>
      <w:r w:rsidRPr="00D9665F">
        <w:rPr>
          <w:rFonts w:ascii="Times New Roman" w:hAnsi="Times New Roman" w:cs="Times New Roman"/>
        </w:rPr>
        <w:t xml:space="preserve">Watanabe, C. (2010). Changes in the reproductive traits of the Pacific stock of chub mackerel </w:t>
      </w:r>
      <w:proofErr w:type="spellStart"/>
      <w:r w:rsidRPr="00D9665F">
        <w:rPr>
          <w:rFonts w:ascii="Times New Roman" w:hAnsi="Times New Roman" w:cs="Times New Roman"/>
        </w:rPr>
        <w:t>Scomber</w:t>
      </w:r>
      <w:proofErr w:type="spellEnd"/>
      <w:r w:rsidRPr="00D9665F">
        <w:rPr>
          <w:rFonts w:ascii="Times New Roman" w:hAnsi="Times New Roman" w:cs="Times New Roman"/>
        </w:rPr>
        <w:t xml:space="preserve"> japonicus and their effects on the population dynamics. Bull. </w:t>
      </w:r>
      <w:proofErr w:type="spellStart"/>
      <w:r w:rsidRPr="00D9665F">
        <w:rPr>
          <w:rFonts w:ascii="Times New Roman" w:hAnsi="Times New Roman" w:cs="Times New Roman"/>
        </w:rPr>
        <w:t>Jpn</w:t>
      </w:r>
      <w:proofErr w:type="spellEnd"/>
      <w:r w:rsidRPr="00D9665F">
        <w:rPr>
          <w:rFonts w:ascii="Times New Roman" w:hAnsi="Times New Roman" w:cs="Times New Roman"/>
        </w:rPr>
        <w:t xml:space="preserve">. Soc. Fish. </w:t>
      </w:r>
      <w:proofErr w:type="spellStart"/>
      <w:r w:rsidRPr="00D9665F">
        <w:rPr>
          <w:rFonts w:ascii="Times New Roman" w:hAnsi="Times New Roman" w:cs="Times New Roman"/>
        </w:rPr>
        <w:t>Oceanogr</w:t>
      </w:r>
      <w:proofErr w:type="spellEnd"/>
      <w:r w:rsidRPr="00D9665F">
        <w:rPr>
          <w:rFonts w:ascii="Times New Roman" w:hAnsi="Times New Roman" w:cs="Times New Roman"/>
        </w:rPr>
        <w:t>. 74. 46-50. (</w:t>
      </w:r>
      <w:proofErr w:type="gramStart"/>
      <w:r w:rsidRPr="00D9665F">
        <w:rPr>
          <w:rFonts w:ascii="Times New Roman" w:hAnsi="Times New Roman" w:cs="Times New Roman"/>
        </w:rPr>
        <w:t>in</w:t>
      </w:r>
      <w:proofErr w:type="gramEnd"/>
      <w:r w:rsidRPr="00D9665F">
        <w:rPr>
          <w:rFonts w:ascii="Times New Roman" w:hAnsi="Times New Roman" w:cs="Times New Roman"/>
        </w:rPr>
        <w:t xml:space="preserve"> Japanese with English abstract).</w:t>
      </w:r>
    </w:p>
    <w:p w14:paraId="6691A328" w14:textId="5211BECD" w:rsidR="00A878B2" w:rsidRDefault="00A878B2" w:rsidP="00D9665F">
      <w:pPr>
        <w:rPr>
          <w:rFonts w:ascii="Times New Roman" w:hAnsi="Times New Roman" w:cs="Times New Roman"/>
        </w:rPr>
      </w:pPr>
      <w:r>
        <w:rPr>
          <w:rFonts w:ascii="Times New Roman" w:hAnsi="Times New Roman" w:cs="Times New Roman"/>
        </w:rPr>
        <w:br w:type="page"/>
      </w:r>
    </w:p>
    <w:p w14:paraId="69DE4839" w14:textId="01212EE9" w:rsidR="00A878B2" w:rsidRDefault="00A878B2">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able 1</w:t>
      </w:r>
      <w:r w:rsidR="0073348A">
        <w:rPr>
          <w:rFonts w:ascii="Times New Roman" w:hAnsi="Times New Roman" w:cs="Times New Roman"/>
        </w:rPr>
        <w:tab/>
      </w:r>
      <w:r w:rsidR="00652E14">
        <w:rPr>
          <w:rFonts w:ascii="Times New Roman" w:hAnsi="Times New Roman" w:cs="Times New Roman"/>
        </w:rPr>
        <w:t>Q</w:t>
      </w:r>
      <w:r>
        <w:rPr>
          <w:rFonts w:ascii="Times New Roman" w:hAnsi="Times New Roman" w:cs="Times New Roman"/>
        </w:rPr>
        <w:t>uarterly catch at age from 2010 to 2020.</w:t>
      </w:r>
    </w:p>
    <w:p w14:paraId="259EFA2E" w14:textId="075BF3B7" w:rsidR="00D84CAB" w:rsidRDefault="0097101F" w:rsidP="00D84CAB">
      <w:pPr>
        <w:rPr>
          <w:rFonts w:ascii="Times New Roman" w:hAnsi="Times New Roman" w:cs="Times New Roman"/>
        </w:rPr>
      </w:pPr>
      <w:r w:rsidRPr="0097101F">
        <w:rPr>
          <w:noProof/>
        </w:rPr>
        <w:drawing>
          <wp:inline distT="0" distB="0" distL="0" distR="0" wp14:anchorId="1CA7216E" wp14:editId="08A49F41">
            <wp:extent cx="5254200" cy="7884720"/>
            <wp:effectExtent l="0" t="0" r="381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4200" cy="7884720"/>
                    </a:xfrm>
                    <a:prstGeom prst="rect">
                      <a:avLst/>
                    </a:prstGeom>
                    <a:noFill/>
                    <a:ln>
                      <a:noFill/>
                    </a:ln>
                  </pic:spPr>
                </pic:pic>
              </a:graphicData>
            </a:graphic>
          </wp:inline>
        </w:drawing>
      </w:r>
    </w:p>
    <w:p w14:paraId="77163605" w14:textId="27C2B8E8" w:rsidR="00D84CAB" w:rsidRDefault="00D84CAB" w:rsidP="006B3790">
      <w:pPr>
        <w:widowControl/>
        <w:jc w:val="left"/>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able 2</w:t>
      </w:r>
      <w:r w:rsidR="0073348A">
        <w:rPr>
          <w:rFonts w:ascii="Times New Roman" w:hAnsi="Times New Roman" w:cs="Times New Roman"/>
        </w:rPr>
        <w:tab/>
      </w:r>
      <w:r w:rsidR="00652E14">
        <w:rPr>
          <w:rFonts w:ascii="Times New Roman" w:hAnsi="Times New Roman" w:cs="Times New Roman" w:hint="eastAsia"/>
        </w:rPr>
        <w:t>Q</w:t>
      </w:r>
      <w:r>
        <w:rPr>
          <w:rFonts w:ascii="Times New Roman" w:hAnsi="Times New Roman" w:cs="Times New Roman"/>
        </w:rPr>
        <w:t>uarterly weight at age from 2010 to 2020.</w:t>
      </w:r>
    </w:p>
    <w:p w14:paraId="7DF81E37" w14:textId="3F9C91C4" w:rsidR="00D84CAB" w:rsidRPr="00D84CAB" w:rsidRDefault="00B53A4C">
      <w:pPr>
        <w:widowControl/>
        <w:jc w:val="left"/>
        <w:rPr>
          <w:rFonts w:ascii="Times New Roman" w:hAnsi="Times New Roman" w:cs="Times New Roman"/>
        </w:rPr>
      </w:pPr>
      <w:r>
        <w:rPr>
          <w:noProof/>
        </w:rPr>
        <w:drawing>
          <wp:inline distT="0" distB="0" distL="0" distR="0" wp14:anchorId="0A524005" wp14:editId="0D99C9AE">
            <wp:extent cx="4776122" cy="7912079"/>
            <wp:effectExtent l="0" t="0" r="571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pic:nvPicPr>
                  <pic:blipFill>
                    <a:blip r:embed="rId11">
                      <a:extLst>
                        <a:ext uri="{28A0092B-C50C-407E-A947-70E740481C1C}">
                          <a14:useLocalDpi xmlns:a14="http://schemas.microsoft.com/office/drawing/2010/main" val="0"/>
                        </a:ext>
                      </a:extLst>
                    </a:blip>
                    <a:stretch>
                      <a:fillRect/>
                    </a:stretch>
                  </pic:blipFill>
                  <pic:spPr>
                    <a:xfrm>
                      <a:off x="0" y="0"/>
                      <a:ext cx="4776122" cy="7912079"/>
                    </a:xfrm>
                    <a:prstGeom prst="rect">
                      <a:avLst/>
                    </a:prstGeom>
                  </pic:spPr>
                </pic:pic>
              </a:graphicData>
            </a:graphic>
          </wp:inline>
        </w:drawing>
      </w:r>
    </w:p>
    <w:p w14:paraId="4C40607A" w14:textId="4D6914C3" w:rsidR="00D84CAB" w:rsidRDefault="00814DD0" w:rsidP="006B3790">
      <w:pPr>
        <w:widowControl/>
        <w:jc w:val="center"/>
        <w:rPr>
          <w:rFonts w:ascii="Times New Roman" w:hAnsi="Times New Roman" w:cs="Times New Roman"/>
        </w:rPr>
      </w:pPr>
      <w:r>
        <w:rPr>
          <w:rFonts w:ascii="Times New Roman" w:hAnsi="Times New Roman" w:cs="Times New Roman"/>
          <w:noProof/>
        </w:rPr>
        <w:lastRenderedPageBreak/>
        <w:drawing>
          <wp:inline distT="0" distB="0" distL="0" distR="0" wp14:anchorId="71EA9CD7" wp14:editId="418CC508">
            <wp:extent cx="5403960" cy="2980080"/>
            <wp:effectExtent l="0" t="0" r="6350" b="0"/>
            <wp:docPr id="1" name="図 1"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棒グラフ&#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3960" cy="2980080"/>
                    </a:xfrm>
                    <a:prstGeom prst="rect">
                      <a:avLst/>
                    </a:prstGeom>
                    <a:noFill/>
                    <a:ln>
                      <a:noFill/>
                    </a:ln>
                  </pic:spPr>
                </pic:pic>
              </a:graphicData>
            </a:graphic>
          </wp:inline>
        </w:drawing>
      </w:r>
    </w:p>
    <w:p w14:paraId="5C50A71E" w14:textId="27428D37" w:rsidR="00D84CAB" w:rsidRDefault="00814DD0" w:rsidP="006B3790">
      <w:pPr>
        <w:widowControl/>
        <w:jc w:val="center"/>
        <w:rPr>
          <w:rFonts w:ascii="Times New Roman" w:hAnsi="Times New Roman" w:cs="Times New Roman"/>
        </w:rPr>
      </w:pPr>
      <w:r>
        <w:rPr>
          <w:rFonts w:ascii="Times New Roman" w:hAnsi="Times New Roman" w:cs="Times New Roman"/>
          <w:noProof/>
        </w:rPr>
        <w:drawing>
          <wp:inline distT="0" distB="0" distL="0" distR="0" wp14:anchorId="2408D3CE" wp14:editId="2413C539">
            <wp:extent cx="5380920" cy="2968200"/>
            <wp:effectExtent l="0" t="0" r="0" b="3810"/>
            <wp:docPr id="2" name="図 2"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 棒グラフ&#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0920" cy="2968200"/>
                    </a:xfrm>
                    <a:prstGeom prst="rect">
                      <a:avLst/>
                    </a:prstGeom>
                    <a:noFill/>
                    <a:ln>
                      <a:noFill/>
                    </a:ln>
                  </pic:spPr>
                </pic:pic>
              </a:graphicData>
            </a:graphic>
          </wp:inline>
        </w:drawing>
      </w:r>
    </w:p>
    <w:p w14:paraId="27FE0377" w14:textId="719E9219" w:rsidR="00D84CAB" w:rsidRDefault="008B2378">
      <w:pPr>
        <w:widowControl/>
        <w:jc w:val="left"/>
        <w:rPr>
          <w:rFonts w:ascii="Times New Roman" w:hAnsi="Times New Roman" w:cs="Times New Roman"/>
        </w:rPr>
      </w:pPr>
      <w:r>
        <w:rPr>
          <w:rFonts w:ascii="Times New Roman" w:hAnsi="Times New Roman" w:cs="Times New Roman" w:hint="eastAsia"/>
        </w:rPr>
        <w:t>Fig. 1</w:t>
      </w:r>
      <w:r>
        <w:rPr>
          <w:rFonts w:ascii="Times New Roman" w:hAnsi="Times New Roman" w:cs="Times New Roman"/>
        </w:rPr>
        <w:tab/>
      </w:r>
      <w:r>
        <w:rPr>
          <w:rFonts w:ascii="Times New Roman" w:hAnsi="Times New Roman" w:cs="Times New Roman" w:hint="eastAsia"/>
        </w:rPr>
        <w:t>Quarterly</w:t>
      </w:r>
      <w:r>
        <w:rPr>
          <w:rFonts w:ascii="Times New Roman" w:hAnsi="Times New Roman" w:cs="Times New Roman"/>
        </w:rPr>
        <w:t xml:space="preserve"> catch in number at age </w:t>
      </w:r>
      <w:r w:rsidR="003163A7">
        <w:rPr>
          <w:rFonts w:ascii="Times New Roman" w:hAnsi="Times New Roman" w:cs="Times New Roman"/>
        </w:rPr>
        <w:t xml:space="preserve">for </w:t>
      </w:r>
      <w:r>
        <w:rPr>
          <w:rFonts w:ascii="Times New Roman" w:hAnsi="Times New Roman" w:cs="Times New Roman"/>
        </w:rPr>
        <w:t xml:space="preserve">2010 to 2020. </w:t>
      </w:r>
      <w:r w:rsidR="003163A7">
        <w:rPr>
          <w:rFonts w:ascii="Times New Roman" w:hAnsi="Times New Roman" w:cs="Times New Roman"/>
        </w:rPr>
        <w:t xml:space="preserve">Y-axes are based on number and proportion in upper and lower panels. </w:t>
      </w:r>
    </w:p>
    <w:p w14:paraId="69F6BE67" w14:textId="5FDE1C45" w:rsidR="008B2378" w:rsidRDefault="008B2378">
      <w:pPr>
        <w:widowControl/>
        <w:jc w:val="left"/>
        <w:rPr>
          <w:rFonts w:ascii="Times New Roman" w:hAnsi="Times New Roman" w:cs="Times New Roman"/>
        </w:rPr>
      </w:pPr>
    </w:p>
    <w:p w14:paraId="1209C1BB" w14:textId="014501CC" w:rsidR="00D84CAB" w:rsidRDefault="00D84CAB">
      <w:pPr>
        <w:widowControl/>
        <w:jc w:val="left"/>
        <w:rPr>
          <w:rFonts w:ascii="Times New Roman" w:hAnsi="Times New Roman" w:cs="Times New Roman"/>
        </w:rPr>
      </w:pPr>
      <w:r>
        <w:rPr>
          <w:rFonts w:ascii="Times New Roman" w:hAnsi="Times New Roman" w:cs="Times New Roman"/>
        </w:rPr>
        <w:br w:type="page"/>
      </w:r>
    </w:p>
    <w:p w14:paraId="342C9762" w14:textId="67A37645" w:rsidR="00A878B2" w:rsidRDefault="00815A6F" w:rsidP="006B3790">
      <w:pPr>
        <w:jc w:val="center"/>
      </w:pPr>
      <w:r>
        <w:rPr>
          <w:noProof/>
        </w:rPr>
        <w:lastRenderedPageBreak/>
        <w:drawing>
          <wp:inline distT="0" distB="0" distL="0" distR="0" wp14:anchorId="1FBA5183" wp14:editId="5000EA08">
            <wp:extent cx="4906641" cy="4980229"/>
            <wp:effectExtent l="0" t="0" r="889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168" cy="4998019"/>
                    </a:xfrm>
                    <a:prstGeom prst="rect">
                      <a:avLst/>
                    </a:prstGeom>
                    <a:noFill/>
                    <a:ln>
                      <a:noFill/>
                    </a:ln>
                  </pic:spPr>
                </pic:pic>
              </a:graphicData>
            </a:graphic>
          </wp:inline>
        </w:drawing>
      </w:r>
    </w:p>
    <w:p w14:paraId="76CEA468" w14:textId="4263E612" w:rsidR="00D9665F" w:rsidRDefault="003163A7">
      <w:pPr>
        <w:widowControl/>
        <w:jc w:val="left"/>
        <w:rPr>
          <w:rFonts w:ascii="Times New Roman" w:hAnsi="Times New Roman" w:cs="Times New Roman"/>
        </w:rPr>
      </w:pPr>
      <w:r>
        <w:rPr>
          <w:rFonts w:ascii="Times New Roman" w:hAnsi="Times New Roman" w:cs="Times New Roman" w:hint="eastAsia"/>
        </w:rPr>
        <w:t>Fig.</w:t>
      </w:r>
      <w:r>
        <w:rPr>
          <w:rFonts w:ascii="Times New Roman" w:hAnsi="Times New Roman" w:cs="Times New Roman"/>
        </w:rPr>
        <w:t xml:space="preserve"> 2</w:t>
      </w:r>
      <w:r>
        <w:rPr>
          <w:rFonts w:ascii="Times New Roman" w:hAnsi="Times New Roman" w:cs="Times New Roman"/>
        </w:rPr>
        <w:tab/>
      </w:r>
      <w:r w:rsidR="001171A1">
        <w:rPr>
          <w:rFonts w:ascii="Times New Roman" w:hAnsi="Times New Roman" w:cs="Times New Roman"/>
        </w:rPr>
        <w:t>Tra</w:t>
      </w:r>
      <w:r w:rsidR="00CF790C">
        <w:rPr>
          <w:rFonts w:ascii="Times New Roman" w:hAnsi="Times New Roman" w:cs="Times New Roman"/>
        </w:rPr>
        <w:t>jectories of weight at age by year class</w:t>
      </w:r>
      <w:r w:rsidR="00336E5B">
        <w:rPr>
          <w:rFonts w:ascii="Times New Roman" w:hAnsi="Times New Roman" w:cs="Times New Roman"/>
        </w:rPr>
        <w:t xml:space="preserve"> (cohort)</w:t>
      </w:r>
      <w:r w:rsidR="00CF790C">
        <w:rPr>
          <w:rFonts w:ascii="Times New Roman" w:hAnsi="Times New Roman" w:cs="Times New Roman"/>
        </w:rPr>
        <w:t xml:space="preserve"> from 2009 to 2020</w:t>
      </w:r>
      <w:r w:rsidR="002C4C0D">
        <w:rPr>
          <w:rFonts w:ascii="Times New Roman" w:hAnsi="Times New Roman" w:cs="Times New Roman"/>
        </w:rPr>
        <w:t>.</w:t>
      </w:r>
      <w:r w:rsidR="00D9665F">
        <w:rPr>
          <w:rFonts w:ascii="Times New Roman" w:hAnsi="Times New Roman" w:cs="Times New Roman"/>
        </w:rPr>
        <w:br w:type="page"/>
      </w:r>
    </w:p>
    <w:p w14:paraId="28F8F1C0" w14:textId="7369BFC9" w:rsidR="009E1252" w:rsidRDefault="00D9665F">
      <w:pPr>
        <w:rPr>
          <w:rFonts w:ascii="Times New Roman" w:hAnsi="Times New Roman" w:cs="Times New Roman"/>
        </w:rPr>
      </w:pPr>
      <w:r>
        <w:rPr>
          <w:rFonts w:ascii="Times New Roman" w:hAnsi="Times New Roman" w:cs="Times New Roman"/>
          <w:noProof/>
        </w:rPr>
        <w:lastRenderedPageBreak/>
        <w:drawing>
          <wp:inline distT="0" distB="0" distL="0" distR="0" wp14:anchorId="3AEF7E1A" wp14:editId="10C57D7F">
            <wp:extent cx="5398770" cy="7195820"/>
            <wp:effectExtent l="0" t="0" r="0" b="5080"/>
            <wp:docPr id="6" name="図 6"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8770" cy="7195820"/>
                    </a:xfrm>
                    <a:prstGeom prst="rect">
                      <a:avLst/>
                    </a:prstGeom>
                    <a:noFill/>
                    <a:ln>
                      <a:noFill/>
                    </a:ln>
                  </pic:spPr>
                </pic:pic>
              </a:graphicData>
            </a:graphic>
          </wp:inline>
        </w:drawing>
      </w:r>
    </w:p>
    <w:p w14:paraId="6A8396EE" w14:textId="0D7E21E0" w:rsidR="00D9665F" w:rsidRPr="009E1252" w:rsidRDefault="00D9665F">
      <w:pPr>
        <w:rPr>
          <w:rFonts w:ascii="Times New Roman" w:hAnsi="Times New Roman" w:cs="Times New Roman"/>
        </w:rPr>
      </w:pPr>
      <w:r w:rsidRPr="414BDE45">
        <w:rPr>
          <w:rFonts w:ascii="Times New Roman" w:hAnsi="Times New Roman" w:cs="Times New Roman"/>
        </w:rPr>
        <w:t>Fig 3.</w:t>
      </w:r>
      <w:r>
        <w:tab/>
      </w:r>
      <w:r w:rsidRPr="414BDE45">
        <w:rPr>
          <w:rFonts w:ascii="Times New Roman" w:hAnsi="Times New Roman" w:cs="Times New Roman"/>
        </w:rPr>
        <w:t>GSI by age by quarter. The horizontal orange line represents the criteria of maturation (GSI = 2.5). Q1</w:t>
      </w:r>
      <w:r w:rsidR="0082369B">
        <w:rPr>
          <w:rFonts w:ascii="Times New Roman" w:hAnsi="Times New Roman" w:cs="Times New Roman"/>
        </w:rPr>
        <w:t xml:space="preserve"> to </w:t>
      </w:r>
      <w:r w:rsidRPr="414BDE45">
        <w:rPr>
          <w:rFonts w:ascii="Times New Roman" w:hAnsi="Times New Roman" w:cs="Times New Roman"/>
        </w:rPr>
        <w:t>Q4 represent quarter</w:t>
      </w:r>
      <w:r w:rsidR="00D60211">
        <w:rPr>
          <w:rFonts w:ascii="Times New Roman" w:hAnsi="Times New Roman" w:cs="Times New Roman"/>
        </w:rPr>
        <w:t>s 1 to 4</w:t>
      </w:r>
      <w:r w:rsidRPr="414BDE45">
        <w:rPr>
          <w:rFonts w:ascii="Times New Roman" w:hAnsi="Times New Roman" w:cs="Times New Roman"/>
        </w:rPr>
        <w:t xml:space="preserve"> and 1 and 2 on the leftmost boxes represent male and female, respectively.</w:t>
      </w:r>
    </w:p>
    <w:p w14:paraId="7D0CD332" w14:textId="1DA817BC" w:rsidR="414BDE45" w:rsidRDefault="414BDE45"/>
    <w:p w14:paraId="060A9F44" w14:textId="477F3B4E" w:rsidR="414BDE45" w:rsidRDefault="414BDE45" w:rsidP="006B3790">
      <w:pPr>
        <w:jc w:val="center"/>
      </w:pPr>
      <w:r>
        <w:rPr>
          <w:noProof/>
        </w:rPr>
        <w:lastRenderedPageBreak/>
        <w:drawing>
          <wp:inline distT="0" distB="0" distL="0" distR="0" wp14:anchorId="4724FD75" wp14:editId="206847F8">
            <wp:extent cx="5040630" cy="7200900"/>
            <wp:effectExtent l="0" t="0" r="0" b="0"/>
            <wp:docPr id="413087662" name="図 4130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040630" cy="7200900"/>
                    </a:xfrm>
                    <a:prstGeom prst="rect">
                      <a:avLst/>
                    </a:prstGeom>
                  </pic:spPr>
                </pic:pic>
              </a:graphicData>
            </a:graphic>
          </wp:inline>
        </w:drawing>
      </w:r>
    </w:p>
    <w:p w14:paraId="4DFEEE65" w14:textId="6B0BD2AC" w:rsidR="414BDE45" w:rsidRDefault="414BDE45">
      <w:pPr>
        <w:rPr>
          <w:rFonts w:ascii="Times New Roman" w:eastAsia="Times New Roman" w:hAnsi="Times New Roman" w:cs="Times New Roman"/>
          <w:szCs w:val="21"/>
        </w:rPr>
      </w:pPr>
      <w:r w:rsidRPr="414BDE45">
        <w:rPr>
          <w:rFonts w:ascii="Times New Roman" w:eastAsia="Times New Roman" w:hAnsi="Times New Roman" w:cs="Times New Roman"/>
          <w:szCs w:val="21"/>
        </w:rPr>
        <w:t>Fig 4.</w:t>
      </w:r>
      <w:r w:rsidR="00483031">
        <w:rPr>
          <w:rFonts w:ascii="Times New Roman" w:eastAsia="Times New Roman" w:hAnsi="Times New Roman" w:cs="Times New Roman"/>
          <w:szCs w:val="21"/>
        </w:rPr>
        <w:tab/>
      </w:r>
      <w:r w:rsidRPr="414BDE45">
        <w:rPr>
          <w:rFonts w:ascii="Times New Roman" w:eastAsia="Times New Roman" w:hAnsi="Times New Roman" w:cs="Times New Roman"/>
          <w:szCs w:val="21"/>
        </w:rPr>
        <w:t>Proportion of matured individuals by age. Q1</w:t>
      </w:r>
      <w:r w:rsidR="00845862">
        <w:rPr>
          <w:rFonts w:ascii="Times New Roman" w:eastAsia="Times New Roman" w:hAnsi="Times New Roman" w:cs="Times New Roman"/>
          <w:szCs w:val="21"/>
        </w:rPr>
        <w:t xml:space="preserve"> to </w:t>
      </w:r>
      <w:r w:rsidRPr="414BDE45">
        <w:rPr>
          <w:rFonts w:ascii="Times New Roman" w:eastAsia="Times New Roman" w:hAnsi="Times New Roman" w:cs="Times New Roman"/>
          <w:szCs w:val="21"/>
        </w:rPr>
        <w:t>Q4 represent quarter</w:t>
      </w:r>
      <w:r w:rsidR="00845862">
        <w:rPr>
          <w:rFonts w:ascii="Times New Roman" w:eastAsia="Times New Roman" w:hAnsi="Times New Roman" w:cs="Times New Roman"/>
          <w:szCs w:val="21"/>
        </w:rPr>
        <w:t>s 1 to 4</w:t>
      </w:r>
      <w:r w:rsidRPr="414BDE45">
        <w:rPr>
          <w:rFonts w:ascii="Times New Roman" w:eastAsia="Times New Roman" w:hAnsi="Times New Roman" w:cs="Times New Roman"/>
          <w:szCs w:val="21"/>
        </w:rPr>
        <w:t xml:space="preserve"> and 1 and 2 on the leftmost boxes represent male and female, respectively.</w:t>
      </w:r>
    </w:p>
    <w:p w14:paraId="46D8713A" w14:textId="21E3ED48" w:rsidR="414BDE45" w:rsidRDefault="414BDE45" w:rsidP="414BDE45">
      <w:pPr>
        <w:rPr>
          <w:rFonts w:ascii="Times New Roman" w:hAnsi="Times New Roman" w:cs="Times New Roman"/>
        </w:rPr>
      </w:pPr>
    </w:p>
    <w:sectPr w:rsidR="414BDE45" w:rsidSect="00F41900">
      <w:headerReference w:type="first" r:id="rId17"/>
      <w:footerReference w:type="first" r:id="rId1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BC6A" w14:textId="77777777" w:rsidR="00253DC9" w:rsidRDefault="00253DC9" w:rsidP="00D9665F">
      <w:r>
        <w:separator/>
      </w:r>
    </w:p>
  </w:endnote>
  <w:endnote w:type="continuationSeparator" w:id="0">
    <w:p w14:paraId="6A17C039" w14:textId="77777777" w:rsidR="00253DC9" w:rsidRDefault="00253DC9" w:rsidP="00D9665F">
      <w:r>
        <w:continuationSeparator/>
      </w:r>
    </w:p>
  </w:endnote>
  <w:endnote w:type="continuationNotice" w:id="1">
    <w:p w14:paraId="39382614" w14:textId="77777777" w:rsidR="00253DC9" w:rsidRDefault="00253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ambria"/>
    <w:panose1 w:val="00000000000000000000"/>
    <w:charset w:val="00"/>
    <w:family w:val="swiss"/>
    <w:notTrueType/>
    <w:pitch w:val="variable"/>
    <w:sig w:usb0="A00002AF" w:usb1="5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4E85" w14:textId="16D1DEB4" w:rsidR="00F41900" w:rsidRDefault="00F41900">
    <w:pPr>
      <w:pStyle w:val="Footer"/>
    </w:pPr>
    <w:r>
      <w:rPr>
        <w:noProof/>
        <w:sz w:val="14"/>
        <w:szCs w:val="14"/>
      </w:rPr>
      <mc:AlternateContent>
        <mc:Choice Requires="wps">
          <w:drawing>
            <wp:anchor distT="0" distB="0" distL="114300" distR="114300" simplePos="0" relativeHeight="251663360" behindDoc="0" locked="0" layoutInCell="1" allowOverlap="1" wp14:anchorId="355CB5AE" wp14:editId="3017E7C5">
              <wp:simplePos x="0" y="0"/>
              <wp:positionH relativeFrom="margin">
                <wp:posOffset>4167282</wp:posOffset>
              </wp:positionH>
              <wp:positionV relativeFrom="paragraph">
                <wp:posOffset>-67310</wp:posOffset>
              </wp:positionV>
              <wp:extent cx="1657350" cy="68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79140" w14:textId="77777777" w:rsidR="00F41900" w:rsidRPr="002F0598" w:rsidRDefault="00F41900" w:rsidP="00F4190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5C20A2" w14:textId="77777777" w:rsidR="00F41900" w:rsidRPr="002F0598" w:rsidRDefault="00F41900" w:rsidP="00F4190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D5CE5A1" w14:textId="77777777" w:rsidR="00F41900" w:rsidRPr="002F0598" w:rsidRDefault="00F41900" w:rsidP="00F41900">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2FE23837" w14:textId="77777777" w:rsidR="00F41900" w:rsidRPr="002F0598" w:rsidRDefault="00F41900" w:rsidP="00F4190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5CB5AE" id="_x0000_t202" coordsize="21600,21600" o:spt="202" path="m,l,21600r21600,l21600,xe">
              <v:stroke joinstyle="miter"/>
              <v:path gradientshapeok="t" o:connecttype="rect"/>
            </v:shapetype>
            <v:shape id="テキスト ボックス 17" o:spid="_x0000_s1027" type="#_x0000_t202" style="position:absolute;left:0;text-align:left;margin-left:328.15pt;margin-top:-5.3pt;width:130.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" filled="f" stroked="f" strokeweight=".5pt">
              <v:textbox style="mso-fit-shape-to-text:t">
                <w:txbxContent>
                  <w:p w14:paraId="53079140" w14:textId="77777777" w:rsidR="00F41900" w:rsidRPr="002F0598" w:rsidRDefault="00F41900" w:rsidP="00F4190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5C20A2" w14:textId="77777777" w:rsidR="00F41900" w:rsidRPr="002F0598" w:rsidRDefault="00F41900" w:rsidP="00F4190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D5CE5A1" w14:textId="77777777" w:rsidR="00F41900" w:rsidRPr="002F0598" w:rsidRDefault="00F41900" w:rsidP="00F41900">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2FE23837" w14:textId="77777777" w:rsidR="00F41900" w:rsidRPr="002F0598" w:rsidRDefault="00F41900" w:rsidP="00F4190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rPr>
      <mc:AlternateContent>
        <mc:Choice Requires="wpg">
          <w:drawing>
            <wp:anchor distT="0" distB="0" distL="114300" distR="114300" simplePos="0" relativeHeight="251664384" behindDoc="1" locked="0" layoutInCell="1" allowOverlap="1" wp14:anchorId="1F64D613" wp14:editId="0C594DED">
              <wp:simplePos x="0" y="0"/>
              <wp:positionH relativeFrom="margin">
                <wp:posOffset>-294005</wp:posOffset>
              </wp:positionH>
              <wp:positionV relativeFrom="paragraph">
                <wp:posOffset>509270</wp:posOffset>
              </wp:positionV>
              <wp:extent cx="6002020" cy="66675"/>
              <wp:effectExtent l="0" t="0" r="0" b="9525"/>
              <wp:wrapNone/>
              <wp:docPr id="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7"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9"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762762" id="グループ化 19" o:spid="_x0000_s1026" style="position:absolute;margin-left:-23.15pt;margin-top:40.1pt;width:472.6pt;height:5.25pt;z-index:-251652096;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P/sukvhAAAACQEAAA8AAABkcnMvZG93bnJldi54&#10;bWxMj0FLw0AQhe+C/2EZwVu7Sas1idmUUtRTEWwF8TbNTpPQ7GzIbpP037ue9Di8j/e+ydeTacVA&#10;vWssK4jnEQji0uqGKwWfh9dZAsJ5ZI2tZVJwJQfr4vYmx0zbkT9o2PtKhBJ2GSqove8yKV1Zk0E3&#10;tx1xyE62N+jD2VdS9ziGctPKRRStpMGGw0KNHW1rKs/7i1HwNuK4WcYvw+582l6/D4/vX7uYlLq/&#10;mzbPIDxN/g+GX/2gDkVwOtoLaydaBbOH1TKgCpJoASIASZqkII4K0ugJZJHL/x8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" fillcolor="#44a8d9" stroked="f" strokeweight="1pt"/>
              <w10:wrap anchorx="margin"/>
            </v:group>
          </w:pict>
        </mc:Fallback>
      </mc:AlternateContent>
    </w:r>
    <w:r>
      <w:rPr>
        <w:noProof/>
        <w:sz w:val="14"/>
        <w:szCs w:val="14"/>
      </w:rPr>
      <mc:AlternateContent>
        <mc:Choice Requires="wps">
          <w:drawing>
            <wp:anchor distT="0" distB="0" distL="114300" distR="114300" simplePos="0" relativeHeight="251662336" behindDoc="0" locked="0" layoutInCell="1" allowOverlap="1" wp14:anchorId="54F3971E" wp14:editId="7C7F4F5A">
              <wp:simplePos x="0" y="0"/>
              <wp:positionH relativeFrom="margin">
                <wp:posOffset>-350322</wp:posOffset>
              </wp:positionH>
              <wp:positionV relativeFrom="paragraph">
                <wp:posOffset>-67310</wp:posOffset>
              </wp:positionV>
              <wp:extent cx="2647950" cy="685800"/>
              <wp:effectExtent l="0" t="0" r="0" b="3175"/>
              <wp:wrapNone/>
              <wp:docPr id="4"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BCE40"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2F44538"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0103243"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4-5-7 Konan, Minato-ku, Tokyo</w:t>
                          </w:r>
                        </w:p>
                        <w:p w14:paraId="486501AA"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F3971E" id="テキスト ボックス 6" o:spid="_x0000_s1028" type="#_x0000_t202" style="position:absolute;left:0;text-align:left;margin-left:-27.6pt;margin-top:-5.3pt;width:208.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" filled="f" stroked="f" strokeweight=".5pt">
              <v:textbox style="mso-fit-shape-to-text:t">
                <w:txbxContent>
                  <w:p w14:paraId="4F0BCE40"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2F44538"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0103243"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4-5-7 Konan, Minato-ku, Tokyo</w:t>
                    </w:r>
                  </w:p>
                  <w:p w14:paraId="486501AA" w14:textId="77777777" w:rsidR="00F41900" w:rsidRPr="00CC48E0" w:rsidRDefault="00F41900" w:rsidP="00F41900">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4411" w14:textId="77777777" w:rsidR="00253DC9" w:rsidRDefault="00253DC9" w:rsidP="00D9665F">
      <w:r>
        <w:separator/>
      </w:r>
    </w:p>
  </w:footnote>
  <w:footnote w:type="continuationSeparator" w:id="0">
    <w:p w14:paraId="3D93D6C0" w14:textId="77777777" w:rsidR="00253DC9" w:rsidRDefault="00253DC9" w:rsidP="00D9665F">
      <w:r>
        <w:continuationSeparator/>
      </w:r>
    </w:p>
  </w:footnote>
  <w:footnote w:type="continuationNotice" w:id="1">
    <w:p w14:paraId="4BA8C129" w14:textId="77777777" w:rsidR="00253DC9" w:rsidRDefault="00253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0A4" w14:textId="55F06716" w:rsidR="00F41900" w:rsidRDefault="00F41900">
    <w:pPr>
      <w:pStyle w:val="Header"/>
    </w:pPr>
    <w:r>
      <w:rPr>
        <w:noProof/>
        <w:sz w:val="14"/>
        <w:szCs w:val="14"/>
      </w:rPr>
      <mc:AlternateContent>
        <mc:Choice Requires="wps">
          <w:drawing>
            <wp:anchor distT="0" distB="0" distL="114300" distR="114300" simplePos="0" relativeHeight="251660288" behindDoc="1" locked="0" layoutInCell="1" allowOverlap="0" wp14:anchorId="6A6414D7" wp14:editId="7D500FED">
              <wp:simplePos x="0" y="0"/>
              <wp:positionH relativeFrom="margin">
                <wp:posOffset>1047750</wp:posOffset>
              </wp:positionH>
              <wp:positionV relativeFrom="paragraph">
                <wp:posOffset>434975</wp:posOffset>
              </wp:positionV>
              <wp:extent cx="3381375" cy="238125"/>
              <wp:effectExtent l="0" t="0" r="0" b="0"/>
              <wp:wrapNone/>
              <wp:docPr id="3"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27562D58" w14:textId="77777777" w:rsidR="00F41900" w:rsidRPr="00D42168" w:rsidRDefault="00F41900" w:rsidP="00F41900">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414D7" id="_x0000_t202" coordsize="21600,21600" o:spt="202" path="m,l,21600r21600,l21600,xe">
              <v:stroke joinstyle="miter"/>
              <v:path gradientshapeok="t" o:connecttype="rect"/>
            </v:shapetype>
            <v:shape id="テキスト ボックス 15" o:spid="_x0000_s1026" type="#_x0000_t202" style="position:absolute;left:0;text-align:left;margin-left:82.5pt;margin-top:34.2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" o:allowoverlap="f" filled="f" stroked="f" strokeweight=".5pt">
              <v:textbox>
                <w:txbxContent>
                  <w:p w14:paraId="27562D58" w14:textId="77777777" w:rsidR="00F41900" w:rsidRPr="00D42168" w:rsidRDefault="00F41900" w:rsidP="00F41900">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9264" behindDoc="1" locked="0" layoutInCell="1" allowOverlap="1" wp14:anchorId="4EA7EEA8" wp14:editId="67101EF2">
          <wp:simplePos x="0" y="0"/>
          <wp:positionH relativeFrom="margin">
            <wp:posOffset>2164715</wp:posOffset>
          </wp:positionH>
          <wp:positionV relativeFrom="paragraph">
            <wp:posOffset>-415636</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52"/>
    <w:rsid w:val="00015C84"/>
    <w:rsid w:val="00017729"/>
    <w:rsid w:val="00036293"/>
    <w:rsid w:val="0003630F"/>
    <w:rsid w:val="000375B5"/>
    <w:rsid w:val="0008441C"/>
    <w:rsid w:val="00085F90"/>
    <w:rsid w:val="00086046"/>
    <w:rsid w:val="0008740F"/>
    <w:rsid w:val="000A7531"/>
    <w:rsid w:val="000B4E31"/>
    <w:rsid w:val="000C1AB7"/>
    <w:rsid w:val="000D5377"/>
    <w:rsid w:val="000E602E"/>
    <w:rsid w:val="000E6324"/>
    <w:rsid w:val="000E6618"/>
    <w:rsid w:val="00105D1F"/>
    <w:rsid w:val="001171A1"/>
    <w:rsid w:val="00122FB7"/>
    <w:rsid w:val="00123C2F"/>
    <w:rsid w:val="0012515E"/>
    <w:rsid w:val="001270FE"/>
    <w:rsid w:val="001347FB"/>
    <w:rsid w:val="00141700"/>
    <w:rsid w:val="00146BCB"/>
    <w:rsid w:val="0015753F"/>
    <w:rsid w:val="00182E5E"/>
    <w:rsid w:val="00187BC2"/>
    <w:rsid w:val="0019503E"/>
    <w:rsid w:val="00195C1A"/>
    <w:rsid w:val="001A24FC"/>
    <w:rsid w:val="001A5795"/>
    <w:rsid w:val="001A5845"/>
    <w:rsid w:val="001B644D"/>
    <w:rsid w:val="001C46A3"/>
    <w:rsid w:val="001F275C"/>
    <w:rsid w:val="001F43DA"/>
    <w:rsid w:val="001F59B0"/>
    <w:rsid w:val="001F6CFA"/>
    <w:rsid w:val="002057F9"/>
    <w:rsid w:val="002216FC"/>
    <w:rsid w:val="00227080"/>
    <w:rsid w:val="00227B1D"/>
    <w:rsid w:val="0023674B"/>
    <w:rsid w:val="002438F5"/>
    <w:rsid w:val="0024756F"/>
    <w:rsid w:val="002537AA"/>
    <w:rsid w:val="00253DC9"/>
    <w:rsid w:val="002559CF"/>
    <w:rsid w:val="0025655B"/>
    <w:rsid w:val="002632D1"/>
    <w:rsid w:val="002644A9"/>
    <w:rsid w:val="00270483"/>
    <w:rsid w:val="00275BED"/>
    <w:rsid w:val="00286852"/>
    <w:rsid w:val="00294FA1"/>
    <w:rsid w:val="002A326A"/>
    <w:rsid w:val="002A56DF"/>
    <w:rsid w:val="002A607E"/>
    <w:rsid w:val="002B57C0"/>
    <w:rsid w:val="002C0343"/>
    <w:rsid w:val="002C439C"/>
    <w:rsid w:val="002C4C0D"/>
    <w:rsid w:val="002C5339"/>
    <w:rsid w:val="002C7421"/>
    <w:rsid w:val="002C7FDF"/>
    <w:rsid w:val="002E430C"/>
    <w:rsid w:val="002E53EE"/>
    <w:rsid w:val="002F41E7"/>
    <w:rsid w:val="00303219"/>
    <w:rsid w:val="00305097"/>
    <w:rsid w:val="003160CB"/>
    <w:rsid w:val="003163A7"/>
    <w:rsid w:val="00317584"/>
    <w:rsid w:val="00321091"/>
    <w:rsid w:val="00326731"/>
    <w:rsid w:val="003273CC"/>
    <w:rsid w:val="00327ED7"/>
    <w:rsid w:val="00334C4F"/>
    <w:rsid w:val="00336E5B"/>
    <w:rsid w:val="00337C98"/>
    <w:rsid w:val="003403E6"/>
    <w:rsid w:val="00342111"/>
    <w:rsid w:val="003473BA"/>
    <w:rsid w:val="0035192A"/>
    <w:rsid w:val="00354CA7"/>
    <w:rsid w:val="00371EEB"/>
    <w:rsid w:val="003961A5"/>
    <w:rsid w:val="003C1D1D"/>
    <w:rsid w:val="003C38F5"/>
    <w:rsid w:val="003D0035"/>
    <w:rsid w:val="003D49A1"/>
    <w:rsid w:val="003E727D"/>
    <w:rsid w:val="003F1A07"/>
    <w:rsid w:val="003F52B0"/>
    <w:rsid w:val="003F6A79"/>
    <w:rsid w:val="00402562"/>
    <w:rsid w:val="0041370E"/>
    <w:rsid w:val="00420377"/>
    <w:rsid w:val="004222AC"/>
    <w:rsid w:val="004279B2"/>
    <w:rsid w:val="004361A8"/>
    <w:rsid w:val="00446861"/>
    <w:rsid w:val="00457F29"/>
    <w:rsid w:val="00472EDD"/>
    <w:rsid w:val="00476880"/>
    <w:rsid w:val="00482C4C"/>
    <w:rsid w:val="00483031"/>
    <w:rsid w:val="00484AAB"/>
    <w:rsid w:val="004908EB"/>
    <w:rsid w:val="004913B3"/>
    <w:rsid w:val="0049242B"/>
    <w:rsid w:val="00497F8C"/>
    <w:rsid w:val="004A39AE"/>
    <w:rsid w:val="004C2CED"/>
    <w:rsid w:val="004C7EEF"/>
    <w:rsid w:val="004D254B"/>
    <w:rsid w:val="004E0513"/>
    <w:rsid w:val="004E39E8"/>
    <w:rsid w:val="004E6927"/>
    <w:rsid w:val="004F408A"/>
    <w:rsid w:val="00505EC5"/>
    <w:rsid w:val="00506154"/>
    <w:rsid w:val="00506854"/>
    <w:rsid w:val="00510A6C"/>
    <w:rsid w:val="00512F3B"/>
    <w:rsid w:val="00517490"/>
    <w:rsid w:val="00542E27"/>
    <w:rsid w:val="00545552"/>
    <w:rsid w:val="005538B5"/>
    <w:rsid w:val="00554455"/>
    <w:rsid w:val="00554C11"/>
    <w:rsid w:val="0056374B"/>
    <w:rsid w:val="00565DF7"/>
    <w:rsid w:val="00567A0F"/>
    <w:rsid w:val="00583074"/>
    <w:rsid w:val="00584474"/>
    <w:rsid w:val="005858F4"/>
    <w:rsid w:val="00586A52"/>
    <w:rsid w:val="00590A40"/>
    <w:rsid w:val="005C0F2B"/>
    <w:rsid w:val="005C2E3B"/>
    <w:rsid w:val="005C2F46"/>
    <w:rsid w:val="005F0B3D"/>
    <w:rsid w:val="005F2E23"/>
    <w:rsid w:val="005F6AD0"/>
    <w:rsid w:val="00604982"/>
    <w:rsid w:val="00610884"/>
    <w:rsid w:val="00623B0B"/>
    <w:rsid w:val="00625874"/>
    <w:rsid w:val="00640FBB"/>
    <w:rsid w:val="00647F60"/>
    <w:rsid w:val="00650069"/>
    <w:rsid w:val="00652E14"/>
    <w:rsid w:val="006856F9"/>
    <w:rsid w:val="006A6DC4"/>
    <w:rsid w:val="006B2974"/>
    <w:rsid w:val="006B3790"/>
    <w:rsid w:val="006C4830"/>
    <w:rsid w:val="006C67C5"/>
    <w:rsid w:val="006C7A7B"/>
    <w:rsid w:val="006C7CF9"/>
    <w:rsid w:val="006D2F03"/>
    <w:rsid w:val="006D30F0"/>
    <w:rsid w:val="006D35F1"/>
    <w:rsid w:val="006D5187"/>
    <w:rsid w:val="006F1010"/>
    <w:rsid w:val="006F1E6A"/>
    <w:rsid w:val="006F6824"/>
    <w:rsid w:val="006F7744"/>
    <w:rsid w:val="00700661"/>
    <w:rsid w:val="0070233B"/>
    <w:rsid w:val="0070354C"/>
    <w:rsid w:val="00721D29"/>
    <w:rsid w:val="00722B3F"/>
    <w:rsid w:val="007326EE"/>
    <w:rsid w:val="0073348A"/>
    <w:rsid w:val="00737A85"/>
    <w:rsid w:val="007506B0"/>
    <w:rsid w:val="007600FC"/>
    <w:rsid w:val="00773ED1"/>
    <w:rsid w:val="00777C30"/>
    <w:rsid w:val="00777CFD"/>
    <w:rsid w:val="00780AB5"/>
    <w:rsid w:val="00786BDB"/>
    <w:rsid w:val="00791CB9"/>
    <w:rsid w:val="00794F03"/>
    <w:rsid w:val="007972A9"/>
    <w:rsid w:val="007A4E82"/>
    <w:rsid w:val="007B55FC"/>
    <w:rsid w:val="007B5AC4"/>
    <w:rsid w:val="007B7875"/>
    <w:rsid w:val="007C054D"/>
    <w:rsid w:val="007E6788"/>
    <w:rsid w:val="007E6C57"/>
    <w:rsid w:val="0080163F"/>
    <w:rsid w:val="00807742"/>
    <w:rsid w:val="008124C2"/>
    <w:rsid w:val="008131CD"/>
    <w:rsid w:val="00814DD0"/>
    <w:rsid w:val="0081521F"/>
    <w:rsid w:val="00815A6F"/>
    <w:rsid w:val="00815C44"/>
    <w:rsid w:val="00821F95"/>
    <w:rsid w:val="0082369B"/>
    <w:rsid w:val="00831A84"/>
    <w:rsid w:val="00845862"/>
    <w:rsid w:val="008506DC"/>
    <w:rsid w:val="00851EAA"/>
    <w:rsid w:val="00860CC4"/>
    <w:rsid w:val="00862868"/>
    <w:rsid w:val="008633CA"/>
    <w:rsid w:val="00870F0B"/>
    <w:rsid w:val="00876E5F"/>
    <w:rsid w:val="00886A8C"/>
    <w:rsid w:val="00892942"/>
    <w:rsid w:val="008974FE"/>
    <w:rsid w:val="008A08B0"/>
    <w:rsid w:val="008A0D4A"/>
    <w:rsid w:val="008A19C2"/>
    <w:rsid w:val="008A4CC2"/>
    <w:rsid w:val="008A5898"/>
    <w:rsid w:val="008A6372"/>
    <w:rsid w:val="008A7012"/>
    <w:rsid w:val="008B2378"/>
    <w:rsid w:val="008B738F"/>
    <w:rsid w:val="008C22CC"/>
    <w:rsid w:val="008C5072"/>
    <w:rsid w:val="008E2599"/>
    <w:rsid w:val="008F0ED6"/>
    <w:rsid w:val="008F2061"/>
    <w:rsid w:val="008F2DA8"/>
    <w:rsid w:val="008F3CC8"/>
    <w:rsid w:val="008F6A08"/>
    <w:rsid w:val="00901130"/>
    <w:rsid w:val="00921803"/>
    <w:rsid w:val="00931D01"/>
    <w:rsid w:val="009324B9"/>
    <w:rsid w:val="009517A1"/>
    <w:rsid w:val="00960B3F"/>
    <w:rsid w:val="00967E56"/>
    <w:rsid w:val="0097101F"/>
    <w:rsid w:val="00972B3B"/>
    <w:rsid w:val="00976AAC"/>
    <w:rsid w:val="009B07DC"/>
    <w:rsid w:val="009B0FE7"/>
    <w:rsid w:val="009B1B27"/>
    <w:rsid w:val="009C4DE4"/>
    <w:rsid w:val="009D3FB5"/>
    <w:rsid w:val="009E0939"/>
    <w:rsid w:val="009E1252"/>
    <w:rsid w:val="009E49A1"/>
    <w:rsid w:val="009E5F68"/>
    <w:rsid w:val="009E7808"/>
    <w:rsid w:val="00A02526"/>
    <w:rsid w:val="00A031DA"/>
    <w:rsid w:val="00A03769"/>
    <w:rsid w:val="00A13EC7"/>
    <w:rsid w:val="00A14659"/>
    <w:rsid w:val="00A14ADA"/>
    <w:rsid w:val="00A178C4"/>
    <w:rsid w:val="00A30D48"/>
    <w:rsid w:val="00A350AC"/>
    <w:rsid w:val="00A42E98"/>
    <w:rsid w:val="00A44C47"/>
    <w:rsid w:val="00A454A9"/>
    <w:rsid w:val="00A53686"/>
    <w:rsid w:val="00A55ED9"/>
    <w:rsid w:val="00A65E4D"/>
    <w:rsid w:val="00A666CD"/>
    <w:rsid w:val="00A73E43"/>
    <w:rsid w:val="00A878B2"/>
    <w:rsid w:val="00A94360"/>
    <w:rsid w:val="00AC2057"/>
    <w:rsid w:val="00AC5F24"/>
    <w:rsid w:val="00AD147F"/>
    <w:rsid w:val="00AE1329"/>
    <w:rsid w:val="00AF1847"/>
    <w:rsid w:val="00AF4C76"/>
    <w:rsid w:val="00B017B2"/>
    <w:rsid w:val="00B040C5"/>
    <w:rsid w:val="00B041EA"/>
    <w:rsid w:val="00B054B5"/>
    <w:rsid w:val="00B10229"/>
    <w:rsid w:val="00B21BF1"/>
    <w:rsid w:val="00B26295"/>
    <w:rsid w:val="00B332F8"/>
    <w:rsid w:val="00B33A3F"/>
    <w:rsid w:val="00B41122"/>
    <w:rsid w:val="00B4444F"/>
    <w:rsid w:val="00B53A4C"/>
    <w:rsid w:val="00B63A8B"/>
    <w:rsid w:val="00B6522A"/>
    <w:rsid w:val="00B652B3"/>
    <w:rsid w:val="00B671A3"/>
    <w:rsid w:val="00B71B3F"/>
    <w:rsid w:val="00B8424D"/>
    <w:rsid w:val="00B84854"/>
    <w:rsid w:val="00B861D9"/>
    <w:rsid w:val="00B95894"/>
    <w:rsid w:val="00BA0C6E"/>
    <w:rsid w:val="00BA6368"/>
    <w:rsid w:val="00BC1BE4"/>
    <w:rsid w:val="00BD2350"/>
    <w:rsid w:val="00BD2AF2"/>
    <w:rsid w:val="00BE12E9"/>
    <w:rsid w:val="00BE1A55"/>
    <w:rsid w:val="00BE712D"/>
    <w:rsid w:val="00C014DA"/>
    <w:rsid w:val="00C03C55"/>
    <w:rsid w:val="00C1059E"/>
    <w:rsid w:val="00C17ADA"/>
    <w:rsid w:val="00C23D3D"/>
    <w:rsid w:val="00C25915"/>
    <w:rsid w:val="00C265BC"/>
    <w:rsid w:val="00C274E9"/>
    <w:rsid w:val="00C3230E"/>
    <w:rsid w:val="00C3280D"/>
    <w:rsid w:val="00C41940"/>
    <w:rsid w:val="00C43DAC"/>
    <w:rsid w:val="00C52341"/>
    <w:rsid w:val="00C53259"/>
    <w:rsid w:val="00C6035D"/>
    <w:rsid w:val="00C614F3"/>
    <w:rsid w:val="00C70852"/>
    <w:rsid w:val="00C712EC"/>
    <w:rsid w:val="00C7581C"/>
    <w:rsid w:val="00C7598D"/>
    <w:rsid w:val="00C80D38"/>
    <w:rsid w:val="00C95364"/>
    <w:rsid w:val="00CA3D3C"/>
    <w:rsid w:val="00CB1B38"/>
    <w:rsid w:val="00CB2261"/>
    <w:rsid w:val="00CB38F6"/>
    <w:rsid w:val="00CB6B01"/>
    <w:rsid w:val="00CC0AD4"/>
    <w:rsid w:val="00CD61E1"/>
    <w:rsid w:val="00CE2438"/>
    <w:rsid w:val="00CE4639"/>
    <w:rsid w:val="00CF36FF"/>
    <w:rsid w:val="00CF790C"/>
    <w:rsid w:val="00D06E6E"/>
    <w:rsid w:val="00D07687"/>
    <w:rsid w:val="00D22C95"/>
    <w:rsid w:val="00D254A8"/>
    <w:rsid w:val="00D419BE"/>
    <w:rsid w:val="00D46216"/>
    <w:rsid w:val="00D46CBC"/>
    <w:rsid w:val="00D53A51"/>
    <w:rsid w:val="00D60211"/>
    <w:rsid w:val="00D62C21"/>
    <w:rsid w:val="00D67F6B"/>
    <w:rsid w:val="00D769CA"/>
    <w:rsid w:val="00D77F51"/>
    <w:rsid w:val="00D84CAB"/>
    <w:rsid w:val="00D87418"/>
    <w:rsid w:val="00D9295A"/>
    <w:rsid w:val="00D9665F"/>
    <w:rsid w:val="00D966E8"/>
    <w:rsid w:val="00DB2FDB"/>
    <w:rsid w:val="00DC5650"/>
    <w:rsid w:val="00DC585C"/>
    <w:rsid w:val="00DC6B9A"/>
    <w:rsid w:val="00DD14D3"/>
    <w:rsid w:val="00DE0304"/>
    <w:rsid w:val="00DE7511"/>
    <w:rsid w:val="00DE7CE7"/>
    <w:rsid w:val="00DF20D7"/>
    <w:rsid w:val="00DF79BE"/>
    <w:rsid w:val="00E0147E"/>
    <w:rsid w:val="00E07696"/>
    <w:rsid w:val="00E10AE5"/>
    <w:rsid w:val="00E2BD14"/>
    <w:rsid w:val="00E32F8B"/>
    <w:rsid w:val="00E406D4"/>
    <w:rsid w:val="00E40EAB"/>
    <w:rsid w:val="00E44C17"/>
    <w:rsid w:val="00E45002"/>
    <w:rsid w:val="00E521B9"/>
    <w:rsid w:val="00E556F5"/>
    <w:rsid w:val="00E55AEC"/>
    <w:rsid w:val="00E65B28"/>
    <w:rsid w:val="00E81C2A"/>
    <w:rsid w:val="00EA74EE"/>
    <w:rsid w:val="00EB4F20"/>
    <w:rsid w:val="00EC58EC"/>
    <w:rsid w:val="00ED2B0D"/>
    <w:rsid w:val="00ED41DD"/>
    <w:rsid w:val="00EE2892"/>
    <w:rsid w:val="00EE44C1"/>
    <w:rsid w:val="00F03260"/>
    <w:rsid w:val="00F04AA0"/>
    <w:rsid w:val="00F11E83"/>
    <w:rsid w:val="00F127BF"/>
    <w:rsid w:val="00F14663"/>
    <w:rsid w:val="00F1591D"/>
    <w:rsid w:val="00F21218"/>
    <w:rsid w:val="00F21339"/>
    <w:rsid w:val="00F22D44"/>
    <w:rsid w:val="00F2782E"/>
    <w:rsid w:val="00F33499"/>
    <w:rsid w:val="00F341E0"/>
    <w:rsid w:val="00F374B1"/>
    <w:rsid w:val="00F41900"/>
    <w:rsid w:val="00F45841"/>
    <w:rsid w:val="00F57886"/>
    <w:rsid w:val="00F74E3A"/>
    <w:rsid w:val="00F81B20"/>
    <w:rsid w:val="00F841A0"/>
    <w:rsid w:val="00F942B7"/>
    <w:rsid w:val="00F95287"/>
    <w:rsid w:val="00F97E0C"/>
    <w:rsid w:val="00FA4303"/>
    <w:rsid w:val="00FB171E"/>
    <w:rsid w:val="00FC0EE5"/>
    <w:rsid w:val="00FC53C3"/>
    <w:rsid w:val="00FD2E46"/>
    <w:rsid w:val="00FD4417"/>
    <w:rsid w:val="00FD7067"/>
    <w:rsid w:val="00FE3CE6"/>
    <w:rsid w:val="00FE560A"/>
    <w:rsid w:val="00FF6064"/>
    <w:rsid w:val="02E973C8"/>
    <w:rsid w:val="02F86F7E"/>
    <w:rsid w:val="03084882"/>
    <w:rsid w:val="03FDC2E0"/>
    <w:rsid w:val="0472C696"/>
    <w:rsid w:val="04AFB2BE"/>
    <w:rsid w:val="04B8D630"/>
    <w:rsid w:val="0572EEB3"/>
    <w:rsid w:val="06EA37AC"/>
    <w:rsid w:val="06EFD53B"/>
    <w:rsid w:val="074CC597"/>
    <w:rsid w:val="08ADBBBB"/>
    <w:rsid w:val="08DFF434"/>
    <w:rsid w:val="090FD463"/>
    <w:rsid w:val="09B51CE5"/>
    <w:rsid w:val="09CD1652"/>
    <w:rsid w:val="0A8189DA"/>
    <w:rsid w:val="0B1EF442"/>
    <w:rsid w:val="0CEBCF8A"/>
    <w:rsid w:val="0D3EAED6"/>
    <w:rsid w:val="0DEF5D91"/>
    <w:rsid w:val="0DF6B842"/>
    <w:rsid w:val="0E345480"/>
    <w:rsid w:val="0E53D9EE"/>
    <w:rsid w:val="0EADD0D5"/>
    <w:rsid w:val="0F121F54"/>
    <w:rsid w:val="0FBFAE5E"/>
    <w:rsid w:val="11967DE4"/>
    <w:rsid w:val="119A9C7D"/>
    <w:rsid w:val="11B7DC9D"/>
    <w:rsid w:val="12A6758C"/>
    <w:rsid w:val="12BDBD6B"/>
    <w:rsid w:val="12E1B0E4"/>
    <w:rsid w:val="13C29A5A"/>
    <w:rsid w:val="141BA15F"/>
    <w:rsid w:val="14955085"/>
    <w:rsid w:val="14DB6F09"/>
    <w:rsid w:val="153B978B"/>
    <w:rsid w:val="15C55298"/>
    <w:rsid w:val="1671749E"/>
    <w:rsid w:val="1739F5C6"/>
    <w:rsid w:val="17AC78B5"/>
    <w:rsid w:val="1818D8A2"/>
    <w:rsid w:val="18417056"/>
    <w:rsid w:val="184DC2AF"/>
    <w:rsid w:val="18EC1D2A"/>
    <w:rsid w:val="19648C67"/>
    <w:rsid w:val="19EF875D"/>
    <w:rsid w:val="1B2AAD21"/>
    <w:rsid w:val="1B7CAC9D"/>
    <w:rsid w:val="1BE09B67"/>
    <w:rsid w:val="1CC67D82"/>
    <w:rsid w:val="1CCD0F17"/>
    <w:rsid w:val="1E14F6C5"/>
    <w:rsid w:val="1E7DC9C6"/>
    <w:rsid w:val="1ECDF531"/>
    <w:rsid w:val="1FD6D43C"/>
    <w:rsid w:val="2032FA4F"/>
    <w:rsid w:val="210E2C5D"/>
    <w:rsid w:val="218784DE"/>
    <w:rsid w:val="22226CC0"/>
    <w:rsid w:val="2379225E"/>
    <w:rsid w:val="244B3637"/>
    <w:rsid w:val="244BCF6E"/>
    <w:rsid w:val="248AC40E"/>
    <w:rsid w:val="24ED0B4A"/>
    <w:rsid w:val="25066B72"/>
    <w:rsid w:val="254A3371"/>
    <w:rsid w:val="26A23BD3"/>
    <w:rsid w:val="274643A5"/>
    <w:rsid w:val="278B622F"/>
    <w:rsid w:val="27E96E05"/>
    <w:rsid w:val="28800224"/>
    <w:rsid w:val="298377FE"/>
    <w:rsid w:val="298BD82D"/>
    <w:rsid w:val="2A152091"/>
    <w:rsid w:val="2A41EB42"/>
    <w:rsid w:val="2A9EDB9E"/>
    <w:rsid w:val="2C13C051"/>
    <w:rsid w:val="2D1F2C59"/>
    <w:rsid w:val="2ED94F1B"/>
    <w:rsid w:val="2F6AC4DD"/>
    <w:rsid w:val="30830054"/>
    <w:rsid w:val="31CA4195"/>
    <w:rsid w:val="338A5E93"/>
    <w:rsid w:val="33B29D1C"/>
    <w:rsid w:val="33C1C453"/>
    <w:rsid w:val="341EB4AF"/>
    <w:rsid w:val="342D3BFC"/>
    <w:rsid w:val="345C523C"/>
    <w:rsid w:val="35ECE45E"/>
    <w:rsid w:val="368B285F"/>
    <w:rsid w:val="369F056A"/>
    <w:rsid w:val="370A88DB"/>
    <w:rsid w:val="37CF3A4E"/>
    <w:rsid w:val="382994FF"/>
    <w:rsid w:val="3875B425"/>
    <w:rsid w:val="38C40762"/>
    <w:rsid w:val="38FFA203"/>
    <w:rsid w:val="3917689F"/>
    <w:rsid w:val="391FB778"/>
    <w:rsid w:val="392F94DD"/>
    <w:rsid w:val="3A1AD2D2"/>
    <w:rsid w:val="3A678476"/>
    <w:rsid w:val="3B604B28"/>
    <w:rsid w:val="3BFA67DE"/>
    <w:rsid w:val="3C0D9B56"/>
    <w:rsid w:val="3C1866EE"/>
    <w:rsid w:val="3C6E58DC"/>
    <w:rsid w:val="3D5996D1"/>
    <w:rsid w:val="3DB4374F"/>
    <w:rsid w:val="3DBAF5E5"/>
    <w:rsid w:val="3DCB8B42"/>
    <w:rsid w:val="3DD7E780"/>
    <w:rsid w:val="3DDCFD07"/>
    <w:rsid w:val="3E5D0104"/>
    <w:rsid w:val="3EA82725"/>
    <w:rsid w:val="3FD22CD7"/>
    <w:rsid w:val="40A89988"/>
    <w:rsid w:val="414BDE45"/>
    <w:rsid w:val="4192D872"/>
    <w:rsid w:val="41C3FD28"/>
    <w:rsid w:val="41E71989"/>
    <w:rsid w:val="425AE1EE"/>
    <w:rsid w:val="42F404D9"/>
    <w:rsid w:val="430014B1"/>
    <w:rsid w:val="438753FF"/>
    <w:rsid w:val="44FB0672"/>
    <w:rsid w:val="44FF25A2"/>
    <w:rsid w:val="45B979B6"/>
    <w:rsid w:val="45CEB53F"/>
    <w:rsid w:val="45DAC517"/>
    <w:rsid w:val="45F3C098"/>
    <w:rsid w:val="46B9CABD"/>
    <w:rsid w:val="47902871"/>
    <w:rsid w:val="47E8FE61"/>
    <w:rsid w:val="48C8180A"/>
    <w:rsid w:val="493A4D4E"/>
    <w:rsid w:val="4A406C06"/>
    <w:rsid w:val="4AEF9CB1"/>
    <w:rsid w:val="4B13B08E"/>
    <w:rsid w:val="4B69BE80"/>
    <w:rsid w:val="4C171AC1"/>
    <w:rsid w:val="4CA8C354"/>
    <w:rsid w:val="4CCB6152"/>
    <w:rsid w:val="4D2D3694"/>
    <w:rsid w:val="4D34A61C"/>
    <w:rsid w:val="4D56F1EB"/>
    <w:rsid w:val="4D7FA0EF"/>
    <w:rsid w:val="4E428291"/>
    <w:rsid w:val="4F4FEA73"/>
    <w:rsid w:val="4F5000A1"/>
    <w:rsid w:val="4F515A36"/>
    <w:rsid w:val="4F95096F"/>
    <w:rsid w:val="50632EB7"/>
    <w:rsid w:val="506C46DE"/>
    <w:rsid w:val="50714260"/>
    <w:rsid w:val="50EBBAD4"/>
    <w:rsid w:val="51282DC0"/>
    <w:rsid w:val="51BE9761"/>
    <w:rsid w:val="51D3CF92"/>
    <w:rsid w:val="534B5B4E"/>
    <w:rsid w:val="535A67C2"/>
    <w:rsid w:val="53C04517"/>
    <w:rsid w:val="53F2BC5B"/>
    <w:rsid w:val="547EB85B"/>
    <w:rsid w:val="553D2B9F"/>
    <w:rsid w:val="5588B8A8"/>
    <w:rsid w:val="55F8D667"/>
    <w:rsid w:val="56B25772"/>
    <w:rsid w:val="57611492"/>
    <w:rsid w:val="5788C423"/>
    <w:rsid w:val="582DD8E5"/>
    <w:rsid w:val="58511E6D"/>
    <w:rsid w:val="58F3906E"/>
    <w:rsid w:val="59F11B71"/>
    <w:rsid w:val="5AF485A4"/>
    <w:rsid w:val="5B0956E8"/>
    <w:rsid w:val="5B9F9920"/>
    <w:rsid w:val="5C697EA6"/>
    <w:rsid w:val="5D4090D1"/>
    <w:rsid w:val="5DB1DFC8"/>
    <w:rsid w:val="5E7BE501"/>
    <w:rsid w:val="5EBD04B0"/>
    <w:rsid w:val="5FC06EE3"/>
    <w:rsid w:val="613296A9"/>
    <w:rsid w:val="6220D8AB"/>
    <w:rsid w:val="62F7455C"/>
    <w:rsid w:val="634ADEB4"/>
    <w:rsid w:val="639DBF33"/>
    <w:rsid w:val="63FAAF8F"/>
    <w:rsid w:val="655F9CAA"/>
    <w:rsid w:val="659BEAC7"/>
    <w:rsid w:val="6702BD24"/>
    <w:rsid w:val="684D1C79"/>
    <w:rsid w:val="6851AF05"/>
    <w:rsid w:val="6ADFF6C9"/>
    <w:rsid w:val="6B2EF01C"/>
    <w:rsid w:val="6B8367BD"/>
    <w:rsid w:val="6C1A2E11"/>
    <w:rsid w:val="6C8C2282"/>
    <w:rsid w:val="6D1D9844"/>
    <w:rsid w:val="6D58D64B"/>
    <w:rsid w:val="6D628F33"/>
    <w:rsid w:val="6F0D6F5C"/>
    <w:rsid w:val="6F545F84"/>
    <w:rsid w:val="6F6930C8"/>
    <w:rsid w:val="7012D2C8"/>
    <w:rsid w:val="7020594E"/>
    <w:rsid w:val="71A7AE6E"/>
    <w:rsid w:val="7217ADF5"/>
    <w:rsid w:val="72F5D10C"/>
    <w:rsid w:val="731FB753"/>
    <w:rsid w:val="73C35867"/>
    <w:rsid w:val="744D33B1"/>
    <w:rsid w:val="74AFC54C"/>
    <w:rsid w:val="76B65EC4"/>
    <w:rsid w:val="77275F33"/>
    <w:rsid w:val="77C9422F"/>
    <w:rsid w:val="77D0CE62"/>
    <w:rsid w:val="78B2233F"/>
    <w:rsid w:val="7977AD9F"/>
    <w:rsid w:val="79A77D1D"/>
    <w:rsid w:val="7A1C66E6"/>
    <w:rsid w:val="7AC2E0BD"/>
    <w:rsid w:val="7AFC68FA"/>
    <w:rsid w:val="7B0BF6DC"/>
    <w:rsid w:val="7B695A94"/>
    <w:rsid w:val="7B815401"/>
    <w:rsid w:val="7BDE445D"/>
    <w:rsid w:val="7C201323"/>
    <w:rsid w:val="7C935A71"/>
    <w:rsid w:val="7C99C6EC"/>
    <w:rsid w:val="7D49C1E0"/>
    <w:rsid w:val="7E1019B8"/>
    <w:rsid w:val="7E73665C"/>
    <w:rsid w:val="7EFBF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AC536"/>
  <w15:chartTrackingRefBased/>
  <w15:docId w15:val="{FC9E15C9-05C9-4E1D-9D6F-50282D43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2E14"/>
    <w:rPr>
      <w:sz w:val="18"/>
      <w:szCs w:val="18"/>
    </w:rPr>
  </w:style>
  <w:style w:type="paragraph" w:styleId="CommentText">
    <w:name w:val="annotation text"/>
    <w:basedOn w:val="Normal"/>
    <w:link w:val="CommentTextChar"/>
    <w:uiPriority w:val="99"/>
    <w:unhideWhenUsed/>
    <w:rsid w:val="00652E14"/>
    <w:pPr>
      <w:jc w:val="left"/>
    </w:pPr>
  </w:style>
  <w:style w:type="character" w:customStyle="1" w:styleId="CommentTextChar">
    <w:name w:val="Comment Text Char"/>
    <w:basedOn w:val="DefaultParagraphFont"/>
    <w:link w:val="CommentText"/>
    <w:uiPriority w:val="99"/>
    <w:rsid w:val="00652E14"/>
  </w:style>
  <w:style w:type="paragraph" w:styleId="CommentSubject">
    <w:name w:val="annotation subject"/>
    <w:basedOn w:val="CommentText"/>
    <w:next w:val="CommentText"/>
    <w:link w:val="CommentSubjectChar"/>
    <w:uiPriority w:val="99"/>
    <w:semiHidden/>
    <w:unhideWhenUsed/>
    <w:rsid w:val="00652E14"/>
    <w:rPr>
      <w:b/>
      <w:bCs/>
    </w:rPr>
  </w:style>
  <w:style w:type="character" w:customStyle="1" w:styleId="CommentSubjectChar">
    <w:name w:val="Comment Subject Char"/>
    <w:basedOn w:val="CommentTextChar"/>
    <w:link w:val="CommentSubject"/>
    <w:uiPriority w:val="99"/>
    <w:semiHidden/>
    <w:rsid w:val="00652E14"/>
    <w:rPr>
      <w:b/>
      <w:bCs/>
    </w:rPr>
  </w:style>
  <w:style w:type="paragraph" w:styleId="Header">
    <w:name w:val="header"/>
    <w:basedOn w:val="Normal"/>
    <w:link w:val="HeaderChar"/>
    <w:uiPriority w:val="99"/>
    <w:unhideWhenUsed/>
    <w:rsid w:val="00D9665F"/>
    <w:pPr>
      <w:tabs>
        <w:tab w:val="center" w:pos="4252"/>
        <w:tab w:val="right" w:pos="8504"/>
      </w:tabs>
      <w:snapToGrid w:val="0"/>
    </w:pPr>
  </w:style>
  <w:style w:type="character" w:customStyle="1" w:styleId="HeaderChar">
    <w:name w:val="Header Char"/>
    <w:basedOn w:val="DefaultParagraphFont"/>
    <w:link w:val="Header"/>
    <w:uiPriority w:val="99"/>
    <w:rsid w:val="00D9665F"/>
  </w:style>
  <w:style w:type="paragraph" w:styleId="Footer">
    <w:name w:val="footer"/>
    <w:basedOn w:val="Normal"/>
    <w:link w:val="FooterChar"/>
    <w:uiPriority w:val="99"/>
    <w:unhideWhenUsed/>
    <w:rsid w:val="00D9665F"/>
    <w:pPr>
      <w:tabs>
        <w:tab w:val="center" w:pos="4252"/>
        <w:tab w:val="right" w:pos="8504"/>
      </w:tabs>
      <w:snapToGrid w:val="0"/>
    </w:pPr>
  </w:style>
  <w:style w:type="character" w:customStyle="1" w:styleId="FooterChar">
    <w:name w:val="Footer Char"/>
    <w:basedOn w:val="DefaultParagraphFont"/>
    <w:link w:val="Footer"/>
    <w:uiPriority w:val="99"/>
    <w:rsid w:val="00D9665F"/>
  </w:style>
  <w:style w:type="character" w:styleId="Hyperlink">
    <w:name w:val="Hyperlink"/>
    <w:basedOn w:val="DefaultParagraphFont"/>
    <w:uiPriority w:val="99"/>
    <w:unhideWhenUsed/>
    <w:rsid w:val="00D9665F"/>
    <w:rPr>
      <w:color w:val="0563C1" w:themeColor="hyperlink"/>
      <w:u w:val="single"/>
    </w:rPr>
  </w:style>
  <w:style w:type="character" w:styleId="UnresolvedMention">
    <w:name w:val="Unresolved Mention"/>
    <w:basedOn w:val="DefaultParagraphFont"/>
    <w:uiPriority w:val="99"/>
    <w:semiHidden/>
    <w:unhideWhenUsed/>
    <w:rsid w:val="00D9665F"/>
    <w:rPr>
      <w:color w:val="605E5C"/>
      <w:shd w:val="clear" w:color="auto" w:fill="E1DFDD"/>
    </w:rPr>
  </w:style>
  <w:style w:type="paragraph" w:styleId="Revision">
    <w:name w:val="Revision"/>
    <w:hidden/>
    <w:uiPriority w:val="99"/>
    <w:semiHidden/>
    <w:rsid w:val="0012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pfc.int"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4" ma:contentTypeDescription="新しいドキュメントを作成します。" ma:contentTypeScope="" ma:versionID="70a339b843e13073c71e8b794ab8e62a">
  <xsd:schema xmlns:xsd="http://www.w3.org/2001/XMLSchema" xmlns:xs="http://www.w3.org/2001/XMLSchema" xmlns:p="http://schemas.microsoft.com/office/2006/metadata/properties" xmlns:ns2="1e66e9eb-7008-4f36-9f12-2720d07fd813" targetNamespace="http://schemas.microsoft.com/office/2006/metadata/properties" ma:root="true" ma:fieldsID="ba782d8552fecd10c98855e4457c6aaf" ns2:_="">
    <xsd:import namespace="1e66e9eb-7008-4f36-9f12-2720d07fd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6A37A-DF3F-47F5-841F-F9949675C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34138-61E1-469F-8D7B-FD11A9C94C90}">
  <ds:schemaRefs>
    <ds:schemaRef ds:uri="http://schemas.microsoft.com/sharepoint/v3/contenttype/forms"/>
  </ds:schemaRefs>
</ds:datastoreItem>
</file>

<file path=customXml/itemProps3.xml><?xml version="1.0" encoding="utf-8"?>
<ds:datastoreItem xmlns:ds="http://schemas.openxmlformats.org/officeDocument/2006/customXml" ds:itemID="{DA9891A0-4D66-4F87-8840-FA559196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Oshima</dc:creator>
  <cp:keywords/>
  <dc:description/>
  <cp:lastModifiedBy>Aleksandr Zavolokin</cp:lastModifiedBy>
  <cp:revision>223</cp:revision>
  <dcterms:created xsi:type="dcterms:W3CDTF">2022-08-03T02:58:00Z</dcterms:created>
  <dcterms:modified xsi:type="dcterms:W3CDTF">2022-08-06T09:25:00Z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0x01010019E7653AFCF07C478C8F2E80DEEE7C66</vt:lpwstr>
  </property>
</Properties>
</file>